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Open Sans" w:hAnsi="Open Sans" w:cs="Open Sans"/>
        </w:rPr>
        <w:id w:val="-656695019"/>
        <w:docPartObj>
          <w:docPartGallery w:val="Cover Pages"/>
          <w:docPartUnique/>
        </w:docPartObj>
      </w:sdtPr>
      <w:sdtEndPr>
        <w:rPr>
          <w:b/>
          <w:bCs/>
          <w:caps/>
          <w:color w:val="FFFFFF" w:themeColor="background1"/>
        </w:rPr>
      </w:sdtEndPr>
      <w:sdtContent>
        <w:p w14:paraId="1DAC89B2" w14:textId="77777777" w:rsidR="00D55300" w:rsidRPr="00F04951" w:rsidRDefault="008B5747" w:rsidP="00FC4134">
          <w:pPr>
            <w:jc w:val="center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  <w:noProof/>
              <w:lang w:eastAsia="pt-PT"/>
            </w:rPr>
            <w:drawing>
              <wp:anchor distT="0" distB="0" distL="114300" distR="114300" simplePos="0" relativeHeight="251657728" behindDoc="0" locked="0" layoutInCell="1" allowOverlap="1" wp14:anchorId="1DAC8AC5" wp14:editId="1DAC8AC6">
                <wp:simplePos x="0" y="0"/>
                <wp:positionH relativeFrom="column">
                  <wp:posOffset>-131160</wp:posOffset>
                </wp:positionH>
                <wp:positionV relativeFrom="paragraph">
                  <wp:posOffset>-55245</wp:posOffset>
                </wp:positionV>
                <wp:extent cx="2280062" cy="728876"/>
                <wp:effectExtent l="0" t="0" r="6350" b="0"/>
                <wp:wrapNone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dentidade_Visual_Marinha_Horizontal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0062" cy="7288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C4134" w:rsidRPr="00F04951">
            <w:rPr>
              <w:rFonts w:ascii="Open Sans" w:hAnsi="Open Sans" w:cs="Open Sans"/>
              <w:noProof/>
            </w:rPr>
            <w:t xml:space="preserve"> </w:t>
          </w:r>
        </w:p>
        <w:p w14:paraId="1DAC89B3" w14:textId="77777777" w:rsidR="003817E2" w:rsidRPr="00F04951" w:rsidRDefault="003817E2" w:rsidP="003817E2">
          <w:pPr>
            <w:overflowPunct/>
            <w:autoSpaceDE/>
            <w:autoSpaceDN/>
            <w:adjustRightInd/>
            <w:jc w:val="center"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4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5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6" w14:textId="77777777" w:rsidR="003817E2" w:rsidRPr="00F04951" w:rsidRDefault="003817E2" w:rsidP="003817E2">
          <w:pPr>
            <w:suppressAutoHyphens/>
            <w:spacing w:before="120"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7" w14:textId="77777777" w:rsidR="005F3EBA" w:rsidRPr="00F04951" w:rsidRDefault="005F3EBA" w:rsidP="005F3EBA">
          <w:pPr>
            <w:suppressAutoHyphens/>
            <w:spacing w:before="120" w:line="276" w:lineRule="auto"/>
            <w:rPr>
              <w:rFonts w:ascii="Open Sans" w:hAnsi="Open Sans" w:cs="Open Sans"/>
              <w:b/>
              <w:i/>
              <w:color w:val="0070C0"/>
              <w:sz w:val="28"/>
              <w:szCs w:val="32"/>
            </w:rPr>
          </w:pPr>
        </w:p>
        <w:p w14:paraId="1DAC89B8" w14:textId="6811E6FC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7F7F7F" w:themeColor="text1" w:themeTint="80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Entidade Adjudicante | </w:t>
          </w:r>
          <w:r w:rsidR="004F4EB8">
            <w:rPr>
              <w:rFonts w:ascii="Open Sans" w:hAnsi="Open Sans" w:cs="Open Sans"/>
              <w:b/>
              <w:color w:val="595959" w:themeColor="text1" w:themeTint="A6"/>
              <w:sz w:val="24"/>
            </w:rPr>
            <w:t>Messe de Cascais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9" w14:textId="0C029C7B" w:rsidR="005F3EBA" w:rsidRPr="002F21B4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4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Número Processo Despesa | </w:t>
          </w:r>
          <w:r w:rsidR="005A0D06">
            <w:rPr>
              <w:rFonts w:ascii="Open Sans" w:hAnsi="Open Sans" w:cs="Open Sans"/>
              <w:b/>
              <w:color w:val="595959" w:themeColor="text1" w:themeTint="A6"/>
              <w:sz w:val="24"/>
            </w:rPr>
            <w:t>302</w:t>
          </w:r>
          <w:r w:rsidR="00007976">
            <w:rPr>
              <w:rFonts w:ascii="Open Sans" w:hAnsi="Open Sans" w:cs="Open Sans"/>
              <w:b/>
              <w:color w:val="595959" w:themeColor="text1" w:themeTint="A6"/>
              <w:sz w:val="24"/>
            </w:rPr>
            <w:t>3001588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A" w14:textId="77777777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0070C0"/>
              <w:sz w:val="28"/>
              <w:szCs w:val="32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Procedimento | </w:t>
          </w:r>
          <w:r w:rsidR="009A2FC2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Consulta Prévia</w:t>
          </w:r>
        </w:p>
        <w:p w14:paraId="1DAC89BB" w14:textId="443E90D5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8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Objeto do Contrato | </w:t>
          </w:r>
          <w:r w:rsidR="005D6313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Fornecimento </w:t>
          </w:r>
          <w:r w:rsidR="00B36F09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de</w:t>
          </w:r>
          <w:r w:rsidR="003F1AD7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géneros </w:t>
          </w:r>
          <w:r w:rsidR="00F32C46">
            <w:rPr>
              <w:rFonts w:ascii="Open Sans" w:hAnsi="Open Sans" w:cs="Open Sans"/>
              <w:b/>
              <w:color w:val="595959" w:themeColor="text1" w:themeTint="A6"/>
              <w:sz w:val="24"/>
            </w:rPr>
            <w:t>alimentares</w:t>
          </w:r>
        </w:p>
        <w:p w14:paraId="1DAC89BC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D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E" w14:textId="77777777" w:rsidR="00C30D06" w:rsidRPr="00F04951" w:rsidRDefault="00C30D06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16"/>
              <w:szCs w:val="8"/>
            </w:rPr>
          </w:pPr>
        </w:p>
        <w:p w14:paraId="1DAC89BF" w14:textId="77777777" w:rsidR="006A4356" w:rsidRPr="00F04951" w:rsidRDefault="00344FE2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70C0"/>
              <w:kern w:val="24"/>
              <w:sz w:val="44"/>
            </w:rPr>
          </w:pPr>
          <w:r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C</w:t>
          </w:r>
          <w:r w:rsidR="005D1DF5"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onvite à Apresentação de Proposta</w:t>
          </w:r>
        </w:p>
        <w:p w14:paraId="1DAC89C0" w14:textId="77777777" w:rsidR="00344FE2" w:rsidRPr="00F04951" w:rsidRDefault="00344FE2" w:rsidP="006A4356">
          <w:pPr>
            <w:pBdr>
              <w:top w:val="single" w:sz="4" w:space="1" w:color="auto"/>
              <w:bottom w:val="single" w:sz="4" w:space="1" w:color="auto"/>
            </w:pBdr>
            <w:suppressAutoHyphens/>
            <w:jc w:val="center"/>
            <w:rPr>
              <w:rFonts w:ascii="Open Sans" w:hAnsi="Open Sans" w:cs="Open Sans"/>
              <w:b/>
              <w:color w:val="002060"/>
              <w:sz w:val="16"/>
              <w:szCs w:val="32"/>
            </w:rPr>
          </w:pPr>
        </w:p>
        <w:p w14:paraId="1DAC89C1" w14:textId="77777777" w:rsidR="000D47BE" w:rsidRPr="00F04951" w:rsidRDefault="000D47BE" w:rsidP="006A4356">
          <w:pPr>
            <w:suppressAutoHyphens/>
            <w:spacing w:line="276" w:lineRule="auto"/>
            <w:rPr>
              <w:rFonts w:ascii="Open Sans" w:hAnsi="Open Sans" w:cs="Open Sans"/>
              <w:b/>
              <w:i/>
              <w:color w:val="002060"/>
              <w:sz w:val="28"/>
              <w:szCs w:val="32"/>
            </w:rPr>
          </w:pPr>
        </w:p>
        <w:p w14:paraId="1DAC89C5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6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7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8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9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A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B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C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D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E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F" w14:textId="77777777" w:rsidR="003817E2" w:rsidRPr="00F04951" w:rsidRDefault="00E51FAF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  <w:r w:rsidRPr="00F04951">
            <w:rPr>
              <w:rFonts w:ascii="Open Sans" w:hAnsi="Open Sans" w:cs="Open Sans"/>
              <w:noProof/>
              <w:sz w:val="18"/>
              <w:szCs w:val="16"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1DAC8AC7" wp14:editId="1DAC8AC8">
                <wp:simplePos x="0" y="0"/>
                <wp:positionH relativeFrom="column">
                  <wp:posOffset>4445635</wp:posOffset>
                </wp:positionH>
                <wp:positionV relativeFrom="paragraph">
                  <wp:posOffset>260985</wp:posOffset>
                </wp:positionV>
                <wp:extent cx="1169035" cy="430753"/>
                <wp:effectExtent l="0" t="0" r="0" b="7620"/>
                <wp:wrapNone/>
                <wp:docPr id="4" name="Imagem 4" descr="C:\Users\m22490\AppData\Local\Microsoft\Windows\INetCache\Content.Word\govDN-VGre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22490\AppData\Local\Microsoft\Windows\INetCache\Content.Word\govDN-VGrey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035" cy="430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DAC89D0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1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2" w14:textId="77777777" w:rsidR="009D003A" w:rsidRPr="00F04951" w:rsidRDefault="00F8559C" w:rsidP="008B059A">
          <w:pPr>
            <w:suppressAutoHyphens/>
            <w:spacing w:before="120" w:line="360" w:lineRule="auto"/>
            <w:rPr>
              <w:rFonts w:ascii="Open Sans" w:hAnsi="Open Sans" w:cs="Open Sans"/>
              <w:sz w:val="16"/>
              <w:szCs w:val="16"/>
            </w:rPr>
            <w:sectPr w:rsidR="009D003A" w:rsidRPr="00F04951" w:rsidSect="0005608F">
              <w:headerReference w:type="default" r:id="rId13"/>
              <w:footerReference w:type="default" r:id="rId14"/>
              <w:footnotePr>
                <w:numRestart w:val="eachSect"/>
              </w:footnotePr>
              <w:type w:val="continuous"/>
              <w:pgSz w:w="11913" w:h="16834"/>
              <w:pgMar w:top="1243" w:right="1134" w:bottom="851" w:left="1701" w:header="426" w:footer="566" w:gutter="0"/>
              <w:pgNumType w:start="0"/>
              <w:cols w:space="720"/>
              <w:titlePg/>
              <w:docGrid w:linePitch="272"/>
            </w:sectPr>
          </w:pPr>
        </w:p>
      </w:sdtContent>
    </w:sdt>
    <w:sdt>
      <w:sdtPr>
        <w:rPr>
          <w:rFonts w:ascii="Open Sans" w:eastAsia="Times New Roman" w:hAnsi="Open Sans" w:cs="Open Sans"/>
          <w:b w:val="0"/>
          <w:caps/>
          <w:color w:val="auto"/>
          <w:sz w:val="20"/>
          <w:szCs w:val="20"/>
          <w:lang w:eastAsia="en-US"/>
        </w:rPr>
        <w:id w:val="936636014"/>
        <w:docPartObj>
          <w:docPartGallery w:val="Table of Contents"/>
          <w:docPartUnique/>
        </w:docPartObj>
      </w:sdtPr>
      <w:sdtEndPr>
        <w:rPr>
          <w:b/>
          <w:bCs/>
          <w:color w:val="002060"/>
          <w:sz w:val="22"/>
          <w:szCs w:val="22"/>
          <w:lang w:eastAsia="pt-PT"/>
        </w:rPr>
      </w:sdtEndPr>
      <w:sdtContent>
        <w:p w14:paraId="1DAC89D3" w14:textId="77777777" w:rsidR="00CF536F" w:rsidRPr="00F04951" w:rsidRDefault="00BA7826" w:rsidP="00230FFE">
          <w:pPr>
            <w:pStyle w:val="Cabealhodondice"/>
            <w:spacing w:before="120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t>ÍNDICE</w:t>
          </w:r>
        </w:p>
        <w:p w14:paraId="6E9347D1" w14:textId="26792C64" w:rsidR="00220248" w:rsidRDefault="00373C5E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r w:rsidRPr="00F04951">
            <w:rPr>
              <w:rFonts w:ascii="Open Sans" w:hAnsi="Open Sans" w:cs="Open Sans"/>
            </w:rPr>
            <w:fldChar w:fldCharType="begin"/>
          </w:r>
          <w:r w:rsidRPr="00F04951">
            <w:rPr>
              <w:rFonts w:ascii="Open Sans" w:hAnsi="Open Sans" w:cs="Open Sans"/>
            </w:rPr>
            <w:instrText xml:space="preserve"> TOC \o "1-3" \h \z \u </w:instrText>
          </w:r>
          <w:r w:rsidRPr="00F04951">
            <w:rPr>
              <w:rFonts w:ascii="Open Sans" w:hAnsi="Open Sans" w:cs="Open Sans"/>
            </w:rPr>
            <w:fldChar w:fldCharType="separate"/>
          </w:r>
          <w:hyperlink w:anchor="_Toc6838802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 – OBJETO E ÂMBITO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33706CD" w14:textId="4223D751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1.º | Identificação e Objeto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10CB347" w14:textId="693FD063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2.º | Entidade Adjudicante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F46653D" w14:textId="082B75FB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3.º | Decisão de Contratar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AA6A2B6" w14:textId="045BBE7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4.º | Escolha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5BCF9E2" w14:textId="58E09E3E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2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 – APRESENTAÇÃO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DCB1DCE" w14:textId="7A900E54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5.º | Tramitação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4434558" w14:textId="448F37F2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6.º | Assinatura Eletrónica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3C8352F" w14:textId="13F7D1AF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7.º | Esclarecimentos, retificações e erros e omissões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AD1B5A" w14:textId="6CB7D7D7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8.º | Idioma dos Documentos que constituem 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5FF05EA" w14:textId="5082E84B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9.º | Documentos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392C105" w14:textId="01E1D5A9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10.º | Elementos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0039C95" w14:textId="391CF199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 xml:space="preserve">Artigo 11.º | </w:t>
            </w:r>
            <w:r w:rsidR="00220248" w:rsidRPr="009E2609">
              <w:rPr>
                <w:rStyle w:val="Hiperligao"/>
                <w:rFonts w:ascii="Open Sans" w:hAnsi="Open Sans" w:cs="Open Sans"/>
                <w:caps/>
                <w:noProof/>
              </w:rPr>
              <w:t>E</w:t>
            </w:r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ntrega de Amostra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9AC9B6" w14:textId="17E20F99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12.º | Acesso às Instalações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390CD4" w14:textId="461DBC80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13.º | Prazo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DAE0652" w14:textId="1F8D0B8A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14.º | Modo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8354172" w14:textId="63E6CD71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15.º | Propostas variantes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1C7B18" w14:textId="7843281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16.º | Prazo de Manutenção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5AB28E6" w14:textId="76A38FDB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17.º | Preço Base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4CF006" w14:textId="164B2BBA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4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III – ANÁLISE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A0E24E" w14:textId="0284A1C3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18.º | Critério de Adjudicação e Modelo de Avaliação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316B928" w14:textId="7DAEA4EB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19.º | Fase de Negociação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9C9FFE2" w14:textId="6BA75B74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20.º | Leilão Eletrónico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56A5E77" w14:textId="6C5A1C5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21.º | Admissão e Exclusão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CB6BB25" w14:textId="0AFD5C9E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22.º | Relatório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93651F6" w14:textId="6F166888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23.º | Audiência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3F303D6" w14:textId="25C03F17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24.º | Relatório final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CE70ECC" w14:textId="5D75F4CB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IV –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72F6AB9" w14:textId="63A49A7E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25.º |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11E010B" w14:textId="3A60ACC7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26.º | Notificação da decisão de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71AC18F" w14:textId="48EF19F1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27.º |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8807E7E" w14:textId="66C87C3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28.º | Idioma dos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4815EB2" w14:textId="28FE366F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29.º | Caução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21AB1F9" w14:textId="7A1922D0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 –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52A7918" w14:textId="09E8E7C4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30.º | Minuta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9746D2E" w14:textId="7AA774B7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31.º |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28D40EC" w14:textId="4049301E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32.º | Não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00074F4" w14:textId="790794BE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VI – DISPOSIÇÕES GENÉRICAS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937899" w14:textId="3B33FA0B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33.º | Possibilidade de adoção de Ajuste Direto ou Consulta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0867C1E" w14:textId="648244E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34.º | Encargos do concorrente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547287" w14:textId="1DE0F499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35.º | Consulta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BA6088" w14:textId="0D91F2C5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36.º | Proteção de dados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164A28" w14:textId="23420E26" w:rsidR="00220248" w:rsidRDefault="00F8559C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37.º | Legislação aplicável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327979B" w14:textId="1DE5E5FC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A - Modelo de Declaração (anexo 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10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0EFDC30" w14:textId="68E28C9A" w:rsidR="00220248" w:rsidRDefault="00F8559C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B - Modelo de Declaração (Anexo II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11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CDF1732" w14:textId="772FE0B3" w:rsidR="00220248" w:rsidRDefault="00F8559C">
          <w:pPr>
            <w:pStyle w:val="ndice1"/>
            <w:rPr>
              <w:noProof/>
            </w:rPr>
          </w:pPr>
          <w:hyperlink w:anchor="_Toc6838806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C - Minuta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CC296B" w14:textId="77777777" w:rsidR="00AB79C8" w:rsidRPr="00AB79C8" w:rsidRDefault="00AB79C8" w:rsidP="00AB79C8">
          <w:pPr>
            <w:rPr>
              <w:rFonts w:eastAsiaTheme="minorEastAsia"/>
              <w:lang w:eastAsia="pt-PT"/>
            </w:rPr>
          </w:pPr>
        </w:p>
        <w:p w14:paraId="5589B972" w14:textId="092FCD5A" w:rsidR="00220248" w:rsidRDefault="00220248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</w:p>
        <w:p w14:paraId="1DAC8A00" w14:textId="6E131ED8" w:rsidR="00CF536F" w:rsidRPr="00F04951" w:rsidRDefault="00373C5E" w:rsidP="00373C5E">
          <w:pPr>
            <w:pStyle w:val="ndice1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fldChar w:fldCharType="end"/>
          </w:r>
        </w:p>
      </w:sdtContent>
    </w:sdt>
    <w:p w14:paraId="1DAC8A01" w14:textId="77777777" w:rsidR="00211A67" w:rsidRPr="00F04951" w:rsidRDefault="0040747A" w:rsidP="00211A67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  <w:color w:val="808080" w:themeColor="background1" w:themeShade="80"/>
          <w:sz w:val="18"/>
          <w:szCs w:val="18"/>
          <w:u w:val="single"/>
        </w:rPr>
        <w:br w:type="page"/>
      </w:r>
      <w:bookmarkStart w:id="0" w:name="_Toc207522951"/>
      <w:bookmarkStart w:id="1" w:name="_Toc33016087"/>
      <w:bookmarkStart w:id="2" w:name="_Toc68388023"/>
      <w:bookmarkStart w:id="3" w:name="_Toc507424569"/>
      <w:bookmarkStart w:id="4" w:name="_Toc525031924"/>
      <w:bookmarkEnd w:id="0"/>
      <w:r w:rsidR="00211A67" w:rsidRPr="00F04951">
        <w:rPr>
          <w:rFonts w:ascii="Open Sans" w:hAnsi="Open Sans" w:cs="Open Sans"/>
        </w:rPr>
        <w:lastRenderedPageBreak/>
        <w:t>CAPÍTULO I – OBJETO E ÂMBITO DO PROCEDIMENTO</w:t>
      </w:r>
      <w:bookmarkEnd w:id="1"/>
      <w:bookmarkEnd w:id="2"/>
    </w:p>
    <w:p w14:paraId="1DAC8A02" w14:textId="77777777" w:rsidR="00211A67" w:rsidRPr="00F04951" w:rsidRDefault="00211A67" w:rsidP="00211A67">
      <w:pPr>
        <w:pStyle w:val="03Artigo"/>
        <w:rPr>
          <w:rFonts w:ascii="Open Sans" w:hAnsi="Open Sans" w:cs="Open Sans"/>
          <w:sz w:val="20"/>
          <w:szCs w:val="20"/>
        </w:rPr>
      </w:pPr>
      <w:bookmarkStart w:id="5" w:name="_Toc33016088"/>
      <w:bookmarkStart w:id="6" w:name="_Toc68388024"/>
      <w:r w:rsidRPr="00F04951">
        <w:rPr>
          <w:rFonts w:ascii="Open Sans" w:hAnsi="Open Sans" w:cs="Open Sans"/>
        </w:rPr>
        <w:t>Artigo 1.º | Identificação e Objeto do Procedimento</w:t>
      </w:r>
      <w:bookmarkEnd w:id="3"/>
      <w:bookmarkEnd w:id="4"/>
      <w:bookmarkEnd w:id="5"/>
      <w:bookmarkEnd w:id="6"/>
    </w:p>
    <w:p w14:paraId="1DAC8A03" w14:textId="48596B6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procedimento contratual n.º </w:t>
      </w:r>
      <w:r w:rsidR="00C2461E">
        <w:rPr>
          <w:rFonts w:ascii="Open Sans" w:hAnsi="Open Sans"/>
        </w:rPr>
        <w:t>302</w:t>
      </w:r>
      <w:r w:rsidR="00007976">
        <w:rPr>
          <w:rFonts w:ascii="Open Sans" w:hAnsi="Open Sans"/>
        </w:rPr>
        <w:t>3001588</w:t>
      </w:r>
      <w:r w:rsidRPr="00F04951">
        <w:rPr>
          <w:rFonts w:ascii="Open Sans" w:hAnsi="Open Sans"/>
        </w:rPr>
        <w:t xml:space="preserve"> tem por objeto a aquisição de </w:t>
      </w:r>
      <w:r w:rsidR="005A0D06">
        <w:rPr>
          <w:rFonts w:ascii="Open Sans" w:hAnsi="Open Sans"/>
        </w:rPr>
        <w:t>géneros</w:t>
      </w:r>
      <w:r w:rsidR="00F32C46">
        <w:rPr>
          <w:rFonts w:ascii="Open Sans" w:hAnsi="Open Sans"/>
        </w:rPr>
        <w:t xml:space="preserve"> alimentares</w:t>
      </w:r>
      <w:r w:rsidRPr="00F04951">
        <w:rPr>
          <w:rFonts w:ascii="Open Sans" w:hAnsi="Open Sans"/>
        </w:rPr>
        <w:t>, nos termos do anexo A do Caderno de Encargos (CE) do presente procedimento e em conformidade com o respetivo clausulado e anexos.</w:t>
      </w:r>
    </w:p>
    <w:p w14:paraId="1DAC8A0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presente procedimento rege-se pelo Código dos Contratos Públicos (CCP) e demais legislação conexa.</w:t>
      </w:r>
    </w:p>
    <w:p w14:paraId="1DAC8A05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" w:name="_Toc507424571"/>
      <w:bookmarkStart w:id="8" w:name="_Toc525031926"/>
      <w:bookmarkStart w:id="9" w:name="_Toc33016089"/>
      <w:bookmarkStart w:id="10" w:name="_Toc68388025"/>
      <w:bookmarkStart w:id="11" w:name="_Toc507424570"/>
      <w:bookmarkStart w:id="12" w:name="_Toc525031925"/>
      <w:r w:rsidRPr="00F04951">
        <w:rPr>
          <w:rFonts w:ascii="Open Sans" w:hAnsi="Open Sans" w:cs="Open Sans"/>
        </w:rPr>
        <w:t>Artigo 2.º | Entidade Adjudicante</w:t>
      </w:r>
      <w:bookmarkEnd w:id="7"/>
      <w:bookmarkEnd w:id="8"/>
      <w:bookmarkEnd w:id="9"/>
      <w:bookmarkEnd w:id="10"/>
    </w:p>
    <w:p w14:paraId="1DAC8A06" w14:textId="14234E29" w:rsidR="00211A67" w:rsidRPr="006F0B43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Entidade Pública Adjudicante é o Ministério da Defesa Nacional – Marinha, r</w:t>
      </w:r>
      <w:r w:rsidR="00E5742C">
        <w:rPr>
          <w:rFonts w:ascii="Open Sans" w:hAnsi="Open Sans"/>
        </w:rPr>
        <w:t>epresentada através d</w:t>
      </w:r>
      <w:r w:rsidRPr="00F04951">
        <w:rPr>
          <w:rFonts w:ascii="Open Sans" w:hAnsi="Open Sans"/>
        </w:rPr>
        <w:t xml:space="preserve">a </w:t>
      </w:r>
      <w:r w:rsidR="005A0D06" w:rsidRPr="006F0B43">
        <w:rPr>
          <w:rFonts w:ascii="Open Sans" w:hAnsi="Open Sans"/>
        </w:rPr>
        <w:t>Messe de Cascais</w:t>
      </w:r>
      <w:r w:rsidRPr="006F0B43">
        <w:rPr>
          <w:rFonts w:ascii="Open Sans" w:hAnsi="Open Sans"/>
        </w:rPr>
        <w:t xml:space="preserve">, sita na </w:t>
      </w:r>
      <w:r w:rsidR="005A0D06" w:rsidRPr="006F0B43">
        <w:rPr>
          <w:rFonts w:ascii="Open Sans" w:hAnsi="Open Sans"/>
        </w:rPr>
        <w:t>Rua Fernandes Tomás nº 4, 2750-342 Cascais</w:t>
      </w:r>
      <w:r w:rsidRPr="006F0B43">
        <w:rPr>
          <w:rFonts w:ascii="Open Sans" w:hAnsi="Open Sans"/>
        </w:rPr>
        <w:t>.</w:t>
      </w:r>
    </w:p>
    <w:p w14:paraId="1DAC8A07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" w:name="_Toc33016090"/>
      <w:bookmarkStart w:id="14" w:name="_Toc68388026"/>
      <w:r w:rsidRPr="00F04951">
        <w:rPr>
          <w:rFonts w:ascii="Open Sans" w:hAnsi="Open Sans" w:cs="Open Sans"/>
        </w:rPr>
        <w:t>Artigo 3.º | Decisão de Contratar</w:t>
      </w:r>
      <w:bookmarkEnd w:id="11"/>
      <w:bookmarkEnd w:id="12"/>
      <w:bookmarkEnd w:id="13"/>
      <w:bookmarkEnd w:id="14"/>
      <w:r w:rsidRPr="00F04951">
        <w:rPr>
          <w:rFonts w:ascii="Open Sans" w:hAnsi="Open Sans" w:cs="Open Sans"/>
        </w:rPr>
        <w:t xml:space="preserve"> </w:t>
      </w:r>
    </w:p>
    <w:p w14:paraId="1DAC8A08" w14:textId="3AC57560" w:rsidR="00211A67" w:rsidRPr="00F04951" w:rsidRDefault="00211A67" w:rsidP="00211A67">
      <w:pPr>
        <w:pStyle w:val="06Textonaonumerado"/>
        <w:rPr>
          <w:rFonts w:ascii="Open Sans" w:hAnsi="Open Sans"/>
        </w:rPr>
      </w:pPr>
      <w:bookmarkStart w:id="15" w:name="_Toc507424572"/>
      <w:bookmarkStart w:id="16" w:name="_Toc525031927"/>
      <w:r w:rsidRPr="00F04951">
        <w:rPr>
          <w:rFonts w:ascii="Open Sans" w:hAnsi="Open Sans"/>
        </w:rPr>
        <w:t xml:space="preserve">O órgão competente para a decisão de contratar, autorizar a despesa e aprovar o procedimento é </w:t>
      </w:r>
      <w:r w:rsidR="005A0D06">
        <w:rPr>
          <w:rFonts w:ascii="Open Sans" w:hAnsi="Open Sans"/>
        </w:rPr>
        <w:t>o D</w:t>
      </w:r>
      <w:r w:rsidR="00E5742C">
        <w:rPr>
          <w:rFonts w:ascii="Open Sans" w:hAnsi="Open Sans"/>
        </w:rPr>
        <w:t>ire</w:t>
      </w:r>
      <w:r w:rsidR="005A0D06">
        <w:rPr>
          <w:rFonts w:ascii="Open Sans" w:hAnsi="Open Sans"/>
        </w:rPr>
        <w:t>tor</w:t>
      </w:r>
      <w:r w:rsidR="00E5742C">
        <w:rPr>
          <w:rFonts w:ascii="Open Sans" w:hAnsi="Open Sans"/>
        </w:rPr>
        <w:t xml:space="preserve"> da Messe de Cascais,</w:t>
      </w:r>
      <w:r w:rsidR="005A0D06">
        <w:rPr>
          <w:rFonts w:ascii="Open Sans" w:hAnsi="Open Sans"/>
        </w:rPr>
        <w:t xml:space="preserve"> CFR AN Rogério Saraiva Rodrigues</w:t>
      </w:r>
      <w:r w:rsidRPr="00F04951">
        <w:rPr>
          <w:rFonts w:ascii="Open Sans" w:hAnsi="Open Sans"/>
        </w:rPr>
        <w:t xml:space="preserve">, nos termos do despacho de </w:t>
      </w:r>
      <w:r w:rsidR="00D36A04" w:rsidRPr="00F04951">
        <w:rPr>
          <w:rFonts w:ascii="Open Sans" w:hAnsi="Open Sans"/>
        </w:rPr>
        <w:t>sub</w:t>
      </w:r>
      <w:r w:rsidRPr="00F04951">
        <w:rPr>
          <w:rFonts w:ascii="Open Sans" w:hAnsi="Open Sans"/>
        </w:rPr>
        <w:t xml:space="preserve">delegação de competências n.º </w:t>
      </w:r>
      <w:r w:rsidR="00FC6D81">
        <w:rPr>
          <w:rFonts w:ascii="Open Sans" w:hAnsi="Open Sans"/>
        </w:rPr>
        <w:t>9555</w:t>
      </w:r>
      <w:r w:rsidR="005A0D06">
        <w:rPr>
          <w:rFonts w:ascii="Open Sans" w:hAnsi="Open Sans"/>
        </w:rPr>
        <w:t>/202</w:t>
      </w:r>
      <w:r w:rsidR="00FC6D81">
        <w:rPr>
          <w:rFonts w:ascii="Open Sans" w:hAnsi="Open Sans"/>
        </w:rPr>
        <w:t>2</w:t>
      </w:r>
      <w:r w:rsidR="005A0D06">
        <w:rPr>
          <w:rFonts w:ascii="Open Sans" w:hAnsi="Open Sans"/>
        </w:rPr>
        <w:t xml:space="preserve"> de 0</w:t>
      </w:r>
      <w:r w:rsidR="00FC6D81">
        <w:rPr>
          <w:rFonts w:ascii="Open Sans" w:hAnsi="Open Sans"/>
        </w:rPr>
        <w:t>4</w:t>
      </w:r>
      <w:r w:rsidR="005A0D06">
        <w:rPr>
          <w:rFonts w:ascii="Open Sans" w:hAnsi="Open Sans"/>
        </w:rPr>
        <w:t xml:space="preserve"> de </w:t>
      </w:r>
      <w:r w:rsidR="00FC6D81">
        <w:rPr>
          <w:rFonts w:ascii="Open Sans" w:hAnsi="Open Sans"/>
        </w:rPr>
        <w:t>agosto</w:t>
      </w:r>
      <w:r w:rsidR="005A0D06">
        <w:rPr>
          <w:rFonts w:ascii="Open Sans" w:hAnsi="Open Sans"/>
        </w:rPr>
        <w:t xml:space="preserve"> de 202</w:t>
      </w:r>
      <w:r w:rsidR="00FC6D81">
        <w:rPr>
          <w:rFonts w:ascii="Open Sans" w:hAnsi="Open Sans"/>
        </w:rPr>
        <w:t>2</w:t>
      </w:r>
      <w:r w:rsidRPr="00F04951">
        <w:rPr>
          <w:rFonts w:ascii="Open Sans" w:hAnsi="Open Sans"/>
        </w:rPr>
        <w:t>, conjugado com os artigos 36.º, 38.º e 40.º do Código dos Contratos Públicos.</w:t>
      </w:r>
    </w:p>
    <w:p w14:paraId="1DAC8A09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7" w:name="_Toc33016091"/>
      <w:bookmarkStart w:id="18" w:name="_Toc68388027"/>
      <w:r w:rsidRPr="00F04951">
        <w:rPr>
          <w:rFonts w:ascii="Open Sans" w:hAnsi="Open Sans" w:cs="Open Sans"/>
        </w:rPr>
        <w:t>Artigo 4.º | Escolha do Procedimento</w:t>
      </w:r>
      <w:bookmarkEnd w:id="15"/>
      <w:bookmarkEnd w:id="16"/>
      <w:bookmarkEnd w:id="17"/>
      <w:bookmarkEnd w:id="18"/>
    </w:p>
    <w:p w14:paraId="1DAC8A0A" w14:textId="388AC8C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Com base em critérios de economia, eficiência e eficácia, conjugado com a natureza do material a adquirir e ao grau de premência da necessidade, foi aprovado e adotado o procedimento de Consulta Prévia, nos termos do </w:t>
      </w:r>
      <w:r w:rsidR="00B12F46">
        <w:rPr>
          <w:rFonts w:ascii="Open Sans" w:hAnsi="Open Sans"/>
        </w:rPr>
        <w:t>artigo 20, nº 1, al. c)</w:t>
      </w:r>
      <w:r w:rsidRPr="00F04951">
        <w:rPr>
          <w:rFonts w:ascii="Open Sans" w:hAnsi="Open Sans"/>
        </w:rPr>
        <w:t>.</w:t>
      </w:r>
    </w:p>
    <w:p w14:paraId="1DAC8A0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9" w:name="_Toc33016092"/>
      <w:bookmarkStart w:id="20" w:name="_Toc68388028"/>
      <w:r w:rsidRPr="00F04951">
        <w:rPr>
          <w:rFonts w:ascii="Open Sans" w:hAnsi="Open Sans" w:cs="Open Sans"/>
        </w:rPr>
        <w:t>CAPÍTULO II – APRESENTAÇÃO DE PROPOSTAS</w:t>
      </w:r>
      <w:bookmarkEnd w:id="19"/>
      <w:bookmarkEnd w:id="20"/>
    </w:p>
    <w:p w14:paraId="1DAC8A0C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21" w:name="_Toc507424573"/>
      <w:bookmarkStart w:id="22" w:name="_Toc525031928"/>
      <w:bookmarkStart w:id="23" w:name="_Toc33016093"/>
      <w:bookmarkStart w:id="24" w:name="_Toc68388029"/>
      <w:r w:rsidRPr="00F04951">
        <w:rPr>
          <w:rFonts w:ascii="Open Sans" w:hAnsi="Open Sans" w:cs="Open Sans"/>
        </w:rPr>
        <w:t>Artigo 5.º | Tramitação do procedimento</w:t>
      </w:r>
      <w:bookmarkEnd w:id="21"/>
      <w:bookmarkEnd w:id="22"/>
      <w:bookmarkEnd w:id="23"/>
      <w:bookmarkEnd w:id="24"/>
    </w:p>
    <w:p w14:paraId="1DAC8A0D" w14:textId="77777777" w:rsidR="00211A67" w:rsidRPr="00F04951" w:rsidRDefault="00211A67" w:rsidP="00211A67">
      <w:pPr>
        <w:pStyle w:val="04Numerado1"/>
        <w:numPr>
          <w:ilvl w:val="0"/>
          <w:numId w:val="2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presente procedimento será integralmente </w:t>
      </w:r>
      <w:r w:rsidRPr="00F04951">
        <w:rPr>
          <w:rFonts w:ascii="Open Sans" w:hAnsi="Open Sans"/>
          <w:shd w:val="clear" w:color="auto" w:fill="FFFFFF" w:themeFill="background1"/>
        </w:rPr>
        <w:t xml:space="preserve">tramitado através da plataforma eletrónica de contratação pública em vigor na Marinha – </w:t>
      </w:r>
      <w:hyperlink r:id="rId15" w:history="1">
        <w:r w:rsidRPr="00F04951">
          <w:rPr>
            <w:rStyle w:val="Hiperligao"/>
            <w:rFonts w:ascii="Open Sans" w:hAnsi="Open Sans"/>
            <w:color w:val="0070C0"/>
            <w:shd w:val="clear" w:color="auto" w:fill="FFFFFF" w:themeFill="background1"/>
          </w:rPr>
          <w:t>www.acingov.pt</w:t>
        </w:r>
      </w:hyperlink>
      <w:r w:rsidRPr="00F04951">
        <w:rPr>
          <w:rFonts w:ascii="Open Sans" w:hAnsi="Open Sans"/>
          <w:shd w:val="clear" w:color="auto" w:fill="FFFFFF" w:themeFill="background1"/>
        </w:rPr>
        <w:t>.</w:t>
      </w:r>
    </w:p>
    <w:p w14:paraId="1DAC8A0E" w14:textId="4D7C7CAE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participação no </w:t>
      </w:r>
      <w:r w:rsidR="001F6C1A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depende de prévia inscrição, gratuita, na plataforma eletrónica de contratação supramencionada.</w:t>
      </w:r>
    </w:p>
    <w:p w14:paraId="1DAC8A0F" w14:textId="09CAF020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As peças do procedimento serão integralmente disponibilizadas na</w:t>
      </w:r>
      <w:r w:rsidR="00DB63BA">
        <w:rPr>
          <w:rFonts w:ascii="Open Sans" w:hAnsi="Open Sans"/>
        </w:rPr>
        <w:t xml:space="preserve"> referida</w:t>
      </w:r>
      <w:r w:rsidRPr="00F04951">
        <w:rPr>
          <w:rFonts w:ascii="Open Sans" w:hAnsi="Open Sans"/>
        </w:rPr>
        <w:t xml:space="preserve"> plataforma eletrónica de contratação pública supra identificada.</w:t>
      </w:r>
    </w:p>
    <w:p w14:paraId="32532ABD" w14:textId="77777777" w:rsidR="00C307A3" w:rsidRPr="00E86500" w:rsidRDefault="00C307A3" w:rsidP="00E86500">
      <w:pPr>
        <w:pStyle w:val="03Artigo"/>
        <w:rPr>
          <w:rFonts w:ascii="Open Sans" w:hAnsi="Open Sans" w:cs="Open Sans"/>
        </w:rPr>
      </w:pPr>
      <w:bookmarkStart w:id="25" w:name="_Toc66886718"/>
      <w:bookmarkStart w:id="26" w:name="_Toc68388030"/>
      <w:bookmarkStart w:id="27" w:name="_Toc507424575"/>
      <w:bookmarkStart w:id="28" w:name="_Toc525031930"/>
      <w:bookmarkStart w:id="29" w:name="_Toc33016094"/>
      <w:r w:rsidRPr="004579A0">
        <w:rPr>
          <w:rFonts w:ascii="Open Sans" w:hAnsi="Open Sans" w:cs="Open Sans"/>
        </w:rPr>
        <w:t>Artigo 6.º | Assinatura Eletrónica</w:t>
      </w:r>
      <w:bookmarkEnd w:id="25"/>
      <w:bookmarkEnd w:id="26"/>
      <w:r w:rsidRPr="004579A0">
        <w:rPr>
          <w:rFonts w:ascii="Open Sans" w:hAnsi="Open Sans" w:cs="Open Sans"/>
        </w:rPr>
        <w:t xml:space="preserve"> </w:t>
      </w:r>
    </w:p>
    <w:p w14:paraId="3B9B69A1" w14:textId="77777777" w:rsidR="00C307A3" w:rsidRPr="00BA0836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Todos os documentos carregados na plataforma, incluindo os documentos que constituem as candidaturas e as propostas, deverão ser assinados eletronicamente mediante a utilização de certificados de assinatura eletrónica qualificada nos termos do artigo 54.º da Lei n.º 96/2015, de 17 de agosto. </w:t>
      </w:r>
    </w:p>
    <w:p w14:paraId="54301E94" w14:textId="77777777" w:rsidR="00C307A3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Os certificados a que se refere o número anterior são emitidos por uma entidade certificadora credenciada pela Autoridade Nacional de Segurança (informação disponível em </w:t>
      </w:r>
      <w:hyperlink r:id="rId16" w:history="1">
        <w:r w:rsidRPr="00BA0836">
          <w:rPr>
            <w:rStyle w:val="Hiperligao"/>
            <w:rFonts w:ascii="Open Sans" w:hAnsi="Open Sans" w:cs="Open Sans"/>
            <w:bCs/>
          </w:rPr>
          <w:t>www.gns.gov.pt</w:t>
        </w:r>
      </w:hyperlink>
      <w:r w:rsidRPr="00BA0836">
        <w:rPr>
          <w:rFonts w:ascii="Open Sans" w:hAnsi="Open Sans" w:cs="Open Sans"/>
          <w:bCs/>
        </w:rPr>
        <w:t xml:space="preserve">). </w:t>
      </w:r>
    </w:p>
    <w:p w14:paraId="317D6331" w14:textId="5511EC7B" w:rsidR="00C307A3" w:rsidRPr="00E72793" w:rsidRDefault="00C307A3" w:rsidP="00E86500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</w:rPr>
      </w:pPr>
      <w:r w:rsidRPr="00C307A3">
        <w:rPr>
          <w:rFonts w:ascii="Open Sans" w:hAnsi="Open Sans" w:cs="Open Sans"/>
        </w:rPr>
        <w:t xml:space="preserve">Nos casos em que o certificado digital não possa relacionar o assinante com a sua função e poder de assinatura, deve a entidade interessada submeter à plataforma um </w:t>
      </w:r>
      <w:r w:rsidRPr="00C307A3">
        <w:rPr>
          <w:rFonts w:ascii="Open Sans" w:hAnsi="Open Sans" w:cs="Open Sans"/>
        </w:rPr>
        <w:lastRenderedPageBreak/>
        <w:t>documento eletrónico oficial indicando o poder de representação e a assinatura do a</w:t>
      </w:r>
      <w:r w:rsidRPr="00E72793">
        <w:rPr>
          <w:rFonts w:ascii="Open Sans" w:hAnsi="Open Sans" w:cs="Open Sans"/>
        </w:rPr>
        <w:t>ssinante (certidão permanente onde conste os poderes para representar ou procuração), conforme o previsto no artigo 9.º do presente convite.</w:t>
      </w:r>
    </w:p>
    <w:p w14:paraId="1DAC8A14" w14:textId="33340C1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0" w:name="_Toc68388031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7</w:t>
      </w:r>
      <w:r w:rsidRPr="00F04951">
        <w:rPr>
          <w:rFonts w:ascii="Open Sans" w:hAnsi="Open Sans" w:cs="Open Sans"/>
        </w:rPr>
        <w:t>.º | Esclarecimentos, retificações</w:t>
      </w:r>
      <w:bookmarkEnd w:id="27"/>
      <w:r w:rsidRPr="00F04951">
        <w:rPr>
          <w:rFonts w:ascii="Open Sans" w:hAnsi="Open Sans" w:cs="Open Sans"/>
        </w:rPr>
        <w:t xml:space="preserve"> e erros e omissões</w:t>
      </w:r>
      <w:bookmarkEnd w:id="28"/>
      <w:bookmarkEnd w:id="29"/>
      <w:bookmarkEnd w:id="30"/>
    </w:p>
    <w:p w14:paraId="1DAC8A15" w14:textId="77777777" w:rsidR="00211A67" w:rsidRPr="00F04951" w:rsidRDefault="00211A67" w:rsidP="00211A67">
      <w:pPr>
        <w:pStyle w:val="04Numerado1"/>
        <w:numPr>
          <w:ilvl w:val="0"/>
          <w:numId w:val="29"/>
        </w:numPr>
        <w:rPr>
          <w:rFonts w:ascii="Open Sans" w:hAnsi="Open Sans"/>
        </w:rPr>
      </w:pPr>
      <w:r w:rsidRPr="00F04951">
        <w:rPr>
          <w:rFonts w:ascii="Open Sans" w:hAnsi="Open Sans"/>
        </w:rPr>
        <w:t>Os esclarecimentos necessários à boa compreensão e interpretação das peças do procedimento, bem como a apresentação de listas de erros e omissões, devem ser solicitados até ao final do primeiro terço do prazo fixado para a apresentação das propostas, através do meio eletrónico definido no ponto anterior.</w:t>
      </w:r>
    </w:p>
    <w:p w14:paraId="1DAC8A1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 e erros e omissões referidos no número anterior serão prestados/respondidos até ao final do segundo terço do prazo para apresentação das propostas. </w:t>
      </w:r>
    </w:p>
    <w:p w14:paraId="1DAC8A17" w14:textId="2D5DE43F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esclarecimentos, as retificações e os erros e omissões expressamente aceites, fazem parte integrante das peças do </w:t>
      </w:r>
      <w:r w:rsidR="00617C31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a que dizem respeito e prevalecem sobre estas em caso de divergência. </w:t>
      </w:r>
    </w:p>
    <w:p w14:paraId="1DAC8A18" w14:textId="6EAC3E96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Compete ao júri do procedimento a prestação dos esclarecimentos previstos no ponto </w:t>
      </w:r>
      <w:r w:rsidR="00CB7172">
        <w:rPr>
          <w:rFonts w:ascii="Open Sans" w:hAnsi="Open Sans"/>
        </w:rPr>
        <w:t>7</w:t>
      </w:r>
      <w:r w:rsidRPr="00F04951">
        <w:rPr>
          <w:rFonts w:ascii="Open Sans" w:hAnsi="Open Sans"/>
        </w:rPr>
        <w:t>.1..</w:t>
      </w:r>
    </w:p>
    <w:p w14:paraId="1DAC8A1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Compete ao órgão competente para a decisão de contratar a decisão sobre os erros e omissões e retificações às peças do procedimento.</w:t>
      </w:r>
    </w:p>
    <w:p w14:paraId="1DAC8A1A" w14:textId="60E9F4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1" w:name="_Toc33016095"/>
      <w:bookmarkStart w:id="32" w:name="_Toc68388032"/>
      <w:bookmarkStart w:id="33" w:name="_Toc507424578"/>
      <w:bookmarkStart w:id="34" w:name="_Toc525031932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8</w:t>
      </w:r>
      <w:r w:rsidRPr="00F04951">
        <w:rPr>
          <w:rFonts w:ascii="Open Sans" w:hAnsi="Open Sans" w:cs="Open Sans"/>
        </w:rPr>
        <w:t>.º | Idioma dos Documentos que constituem a proposta</w:t>
      </w:r>
      <w:bookmarkEnd w:id="31"/>
      <w:bookmarkEnd w:id="32"/>
    </w:p>
    <w:p w14:paraId="28B21D4D" w14:textId="7A16D6C4" w:rsidR="00CB7172" w:rsidRDefault="00CB7172" w:rsidP="00CB7172">
      <w:pPr>
        <w:spacing w:after="120" w:line="276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Todos os documentos devem ser apresentados em língua portuguesa, com exceção</w:t>
      </w:r>
      <w:r w:rsidRPr="006416F6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d</w:t>
      </w:r>
      <w:r w:rsidRPr="006416F6">
        <w:rPr>
          <w:rFonts w:ascii="Open Sans" w:hAnsi="Open Sans" w:cs="Open Sans"/>
        </w:rPr>
        <w:t xml:space="preserve">os documentos </w:t>
      </w:r>
      <w:r>
        <w:rPr>
          <w:rFonts w:ascii="Open Sans" w:hAnsi="Open Sans" w:cs="Open Sans"/>
        </w:rPr>
        <w:t>previstos no n.º 1 al. c) e n.º 2 do artigo seguinte,</w:t>
      </w:r>
      <w:r w:rsidRPr="006416F6">
        <w:rPr>
          <w:rFonts w:ascii="Open Sans" w:hAnsi="Open Sans" w:cs="Open Sans"/>
        </w:rPr>
        <w:t xml:space="preserve"> que poderão ser apresentados em</w:t>
      </w:r>
      <w:r w:rsidR="006F0B43">
        <w:rPr>
          <w:rFonts w:ascii="Open Sans" w:hAnsi="Open Sans" w:cs="Open Sans"/>
        </w:rPr>
        <w:t xml:space="preserve"> língua inglesa</w:t>
      </w:r>
      <w:r w:rsidRPr="00B71809">
        <w:rPr>
          <w:rFonts w:ascii="Open Sans" w:hAnsi="Open Sans" w:cs="Open Sans"/>
        </w:rPr>
        <w:t>.</w:t>
      </w:r>
    </w:p>
    <w:p w14:paraId="1DAC8A1C" w14:textId="780B1673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5" w:name="_Toc33016096"/>
      <w:bookmarkStart w:id="36" w:name="_Toc68388033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9</w:t>
      </w:r>
      <w:r w:rsidRPr="00F04951">
        <w:rPr>
          <w:rFonts w:ascii="Open Sans" w:hAnsi="Open Sans" w:cs="Open Sans"/>
        </w:rPr>
        <w:t>.º | Documentos da Proposta</w:t>
      </w:r>
      <w:bookmarkEnd w:id="33"/>
      <w:bookmarkEnd w:id="34"/>
      <w:bookmarkEnd w:id="35"/>
      <w:bookmarkEnd w:id="36"/>
    </w:p>
    <w:p w14:paraId="1DAC8A1D" w14:textId="77777777" w:rsidR="00211A67" w:rsidRPr="00F04951" w:rsidRDefault="00211A67" w:rsidP="00211A67">
      <w:pPr>
        <w:pStyle w:val="04Numerado1"/>
        <w:numPr>
          <w:ilvl w:val="0"/>
          <w:numId w:val="30"/>
        </w:numPr>
        <w:rPr>
          <w:rFonts w:ascii="Open Sans" w:hAnsi="Open Sans"/>
        </w:rPr>
      </w:pPr>
      <w:r w:rsidRPr="00F04951">
        <w:rPr>
          <w:rFonts w:ascii="Open Sans" w:hAnsi="Open Sans"/>
        </w:rPr>
        <w:t>A proposta é instruída pela totalidade dos documentos abaixo indicados, assinados individualmente com recurso a assinatura eletrónica qualificada, antes do processo de submissão da proposta, sob pena de exclusão:</w:t>
      </w:r>
    </w:p>
    <w:p w14:paraId="1DAC8A1E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Declaração de aceitação do conteúdo do Caderno de Encargos</w:t>
      </w:r>
      <w:r w:rsidRPr="00F04951">
        <w:rPr>
          <w:rFonts w:ascii="Open Sans" w:hAnsi="Open Sans"/>
        </w:rPr>
        <w:t xml:space="preserve">, elaborada de acordo com o anexo I ao CCP, constante em Anexo A ao presente Convite, assinada pelo concorrente ou por representante que tenha poderes; </w:t>
      </w:r>
    </w:p>
    <w:p w14:paraId="1DAC8A1F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Proposta, de acordo com o Anexo C</w:t>
      </w:r>
      <w:r w:rsidRPr="00F04951">
        <w:rPr>
          <w:rFonts w:ascii="Open Sans" w:hAnsi="Open Sans"/>
        </w:rPr>
        <w:t>, com a informação dos atributos, termos, condições e informação técnica detalhada. Em substituição poderá ser apresentado um outro documento, contendo sempre expressa e taxativamente a mesma informação, inscrita no anexo referido;</w:t>
      </w:r>
    </w:p>
    <w:p w14:paraId="1DAC8A20" w14:textId="1B29AEBB" w:rsidR="00211A67" w:rsidRPr="00E86500" w:rsidRDefault="00211A67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  <w:b/>
        </w:rPr>
        <w:t>Fichas técnicas dos bens</w:t>
      </w:r>
      <w:r w:rsidRPr="00F04951">
        <w:rPr>
          <w:rFonts w:ascii="Open Sans" w:hAnsi="Open Sans"/>
        </w:rPr>
        <w:t xml:space="preserve"> (caso aplicável)</w:t>
      </w:r>
      <w:r w:rsidRPr="00F04951">
        <w:rPr>
          <w:rFonts w:ascii="Open Sans" w:hAnsi="Open Sans"/>
          <w:i/>
          <w:iCs/>
        </w:rPr>
        <w:t>.</w:t>
      </w:r>
    </w:p>
    <w:p w14:paraId="2920EAFE" w14:textId="3D1DF335" w:rsidR="00EA1213" w:rsidRPr="00F04951" w:rsidRDefault="00EA1213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>
        <w:rPr>
          <w:rFonts w:ascii="Open Sans" w:hAnsi="Open Sans"/>
          <w:b/>
          <w:u w:val="single"/>
        </w:rPr>
        <w:t>D</w:t>
      </w:r>
      <w:r w:rsidRPr="0040111E">
        <w:rPr>
          <w:rFonts w:ascii="Open Sans" w:hAnsi="Open Sans"/>
          <w:b/>
          <w:u w:val="single"/>
        </w:rPr>
        <w:t>ocumento eletrónico oficial</w:t>
      </w:r>
      <w:r>
        <w:rPr>
          <w:rFonts w:ascii="Open Sans" w:hAnsi="Open Sans"/>
          <w:b/>
          <w:u w:val="single"/>
        </w:rPr>
        <w:t>,</w:t>
      </w:r>
      <w:r w:rsidRPr="0040111E">
        <w:rPr>
          <w:rFonts w:ascii="Open Sans" w:hAnsi="Open Sans"/>
          <w:b/>
          <w:u w:val="single"/>
        </w:rPr>
        <w:t xml:space="preserve"> </w:t>
      </w:r>
      <w:r w:rsidRPr="00CF62FB">
        <w:rPr>
          <w:rFonts w:ascii="Open Sans" w:hAnsi="Open Sans"/>
        </w:rPr>
        <w:t>indicando o poder de representação e a assinatura do assinante</w:t>
      </w:r>
      <w:r>
        <w:rPr>
          <w:rFonts w:ascii="Open Sans" w:hAnsi="Open Sans"/>
        </w:rPr>
        <w:t>,</w:t>
      </w:r>
      <w:r w:rsidRPr="00CF62FB">
        <w:rPr>
          <w:rFonts w:ascii="Open Sans" w:hAnsi="Open Sans"/>
        </w:rPr>
        <w:t xml:space="preserve"> </w:t>
      </w:r>
      <w:r>
        <w:rPr>
          <w:rFonts w:ascii="Open Sans" w:hAnsi="Open Sans"/>
        </w:rPr>
        <w:t>n</w:t>
      </w:r>
      <w:r w:rsidRPr="00CF62FB">
        <w:rPr>
          <w:rFonts w:ascii="Open Sans" w:hAnsi="Open Sans"/>
        </w:rPr>
        <w:t>os casos em que o certificado digital não possa relacionar o assinante com a sua função e poder de assinatura</w:t>
      </w:r>
      <w:r>
        <w:rPr>
          <w:rFonts w:ascii="Open Sans" w:hAnsi="Open Sans"/>
        </w:rPr>
        <w:t>, nomeadamente, certidão permanente do registo comercial, procuração ou documento equivalente.</w:t>
      </w:r>
    </w:p>
    <w:p w14:paraId="1DAC8A2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Adicionalmente, poderão ser apresentados quaisquer outros documentos que o concorrente considere indispensáveis ao esclarecimento dos atributos da proposta.</w:t>
      </w:r>
    </w:p>
    <w:p w14:paraId="1DAC8A22" w14:textId="2127F91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7" w:name="_Toc507424579"/>
      <w:bookmarkStart w:id="38" w:name="_Toc525031933"/>
      <w:bookmarkStart w:id="39" w:name="_Toc33016097"/>
      <w:bookmarkStart w:id="40" w:name="_Toc68388034"/>
      <w:r w:rsidRPr="00F04951">
        <w:rPr>
          <w:rFonts w:ascii="Open Sans" w:hAnsi="Open Sans" w:cs="Open Sans"/>
        </w:rPr>
        <w:lastRenderedPageBreak/>
        <w:t xml:space="preserve">Artigo </w:t>
      </w:r>
      <w:r w:rsidR="00EA1213">
        <w:rPr>
          <w:rFonts w:ascii="Open Sans" w:hAnsi="Open Sans" w:cs="Open Sans"/>
        </w:rPr>
        <w:t>10</w:t>
      </w:r>
      <w:r w:rsidRPr="00F04951">
        <w:rPr>
          <w:rFonts w:ascii="Open Sans" w:hAnsi="Open Sans" w:cs="Open Sans"/>
        </w:rPr>
        <w:t>.º | Elementos da Proposta</w:t>
      </w:r>
      <w:bookmarkEnd w:id="37"/>
      <w:bookmarkEnd w:id="38"/>
      <w:bookmarkEnd w:id="39"/>
      <w:bookmarkEnd w:id="40"/>
    </w:p>
    <w:p w14:paraId="1DAC8A23" w14:textId="77777777" w:rsidR="00211A67" w:rsidRPr="00F04951" w:rsidRDefault="00211A67" w:rsidP="00211A67">
      <w:pPr>
        <w:pStyle w:val="04Numerado1"/>
        <w:numPr>
          <w:ilvl w:val="0"/>
          <w:numId w:val="31"/>
        </w:numPr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Preço total em EUROS</w:t>
      </w:r>
      <w:r w:rsidRPr="00F04951">
        <w:rPr>
          <w:rFonts w:ascii="Open Sans" w:hAnsi="Open Sans"/>
        </w:rPr>
        <w:t>, com duas casas decimais, obrigatoriamente, não incluindo o IVA, sendo mencionada expressamente a sua não inclusão e que aos preços acresce aquele imposto, à taxa legal em vigor. No caso de existir divergência entre preço por extenso e o escrito por algarismos prevalecerá sempre o preço por extenso parcelarmente apresentado.</w:t>
      </w:r>
    </w:p>
    <w:p w14:paraId="1DAC8A24" w14:textId="74978ED9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preço unitário ou total ser apresenta</w:t>
      </w:r>
      <w:r w:rsidR="004A0374">
        <w:rPr>
          <w:rFonts w:ascii="Open Sans" w:hAnsi="Open Sans"/>
        </w:rPr>
        <w:t>do</w:t>
      </w:r>
      <w:r w:rsidRPr="00F04951">
        <w:rPr>
          <w:rFonts w:ascii="Open Sans" w:hAnsi="Open Sans"/>
        </w:rPr>
        <w:t xml:space="preserve"> com mais de duas casas decimais, o preço considerado será o de duas casas decimais aproximado por defeito.</w:t>
      </w:r>
    </w:p>
    <w:p w14:paraId="1DAC8A2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divergência entre o valor unitário e o valor total da proposta, valerá o valor unitário por unidade de fornecimento descrito no anexo A no Caderno de Encargos, por artigo em cada lote.</w:t>
      </w:r>
    </w:p>
    <w:p w14:paraId="1DAC8A2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A taxa do IVA aplicável deve ser indicada à parte</w:t>
      </w:r>
      <w:r w:rsidRPr="00F04951">
        <w:rPr>
          <w:rFonts w:ascii="Open Sans" w:hAnsi="Open Sans"/>
        </w:rPr>
        <w:t>. Nos casos de isenção é obrigatória a menção ao respetivo fundamento legal (norma, artigo, número, alínea).</w:t>
      </w:r>
    </w:p>
    <w:p w14:paraId="1DAC8A27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Prazo de manutenção da proposta</w:t>
      </w:r>
      <w:r w:rsidRPr="00F04951">
        <w:rPr>
          <w:rFonts w:ascii="Open Sans" w:hAnsi="Open Sans"/>
        </w:rPr>
        <w:t>, nunca inferior a 66 (sessenta e seis) dias úteis.</w:t>
      </w:r>
    </w:p>
    <w:p w14:paraId="1DAC8A2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Discriminação do prazo do fornecimento</w:t>
      </w:r>
      <w:r w:rsidRPr="00F04951">
        <w:rPr>
          <w:rFonts w:ascii="Open Sans" w:hAnsi="Open Sans"/>
        </w:rPr>
        <w:t xml:space="preserve"> com escalonamento expressos em dias e/ou descritos por algarismos, por lote. O prazo de fornecimento a apresentar terá de ser sempre em dias, e em dias corridos, de calendário, a contar com os dias de Sábado, Domingo e Feriados.</w:t>
      </w:r>
    </w:p>
    <w:p w14:paraId="1DAC8A2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prazo ser apresentado em forma diferente de dias corridos, converter-se-á em dias corridos, na fórmula expressa no ponto anterior. No caso de existir divergência entre as datas indicadas por extenso e as descritas em algarismos prevalecerá sempre a que indicar um prazo mais curto.</w:t>
      </w:r>
    </w:p>
    <w:p w14:paraId="1DAC8A2A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as propostas são apresentadas por sociedade comercial ou agrupamento, devem ser assinadas por quem tenha poderes para os obrigar.</w:t>
      </w:r>
      <w:bookmarkStart w:id="41" w:name="_Toc507424580"/>
      <w:bookmarkStart w:id="42" w:name="_Toc525031934"/>
    </w:p>
    <w:p w14:paraId="1DAC8A2B" w14:textId="500E73C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43" w:name="_Toc33016098"/>
      <w:bookmarkStart w:id="44" w:name="_Toc68388035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11</w:t>
      </w:r>
      <w:r w:rsidRPr="00F04951">
        <w:rPr>
          <w:rFonts w:ascii="Open Sans" w:hAnsi="Open Sans" w:cs="Open Sans"/>
        </w:rPr>
        <w:t xml:space="preserve">.º | </w:t>
      </w:r>
      <w:r w:rsidRPr="00F04951">
        <w:rPr>
          <w:rFonts w:ascii="Open Sans" w:hAnsi="Open Sans" w:cs="Open Sans"/>
          <w:caps/>
        </w:rPr>
        <w:t>E</w:t>
      </w:r>
      <w:r w:rsidRPr="00F04951">
        <w:rPr>
          <w:rFonts w:ascii="Open Sans" w:hAnsi="Open Sans" w:cs="Open Sans"/>
        </w:rPr>
        <w:t>ntrega de Amostra</w:t>
      </w:r>
      <w:bookmarkEnd w:id="41"/>
      <w:bookmarkEnd w:id="42"/>
      <w:bookmarkEnd w:id="43"/>
      <w:bookmarkEnd w:id="44"/>
    </w:p>
    <w:p w14:paraId="1DAC8A2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Sempre que solicitada na Especificação Técnica, o concorrente tem de entregar a respetiva amostra até à data limite do prazo para entrega das propostas para verificação da sua conformidade com os requisitos e características definidas na Especificação Técnica.</w:t>
      </w:r>
      <w:bookmarkStart w:id="45" w:name="_Toc507424577"/>
      <w:bookmarkStart w:id="46" w:name="_Toc525031931"/>
    </w:p>
    <w:p w14:paraId="14451BFE" w14:textId="77777777" w:rsidR="00634B9F" w:rsidRPr="00E86500" w:rsidRDefault="00634B9F" w:rsidP="00E86500">
      <w:pPr>
        <w:pStyle w:val="03Artigo"/>
        <w:rPr>
          <w:rFonts w:ascii="Open Sans" w:hAnsi="Open Sans" w:cs="Open Sans"/>
        </w:rPr>
      </w:pPr>
      <w:bookmarkStart w:id="47" w:name="_Toc66886724"/>
      <w:bookmarkStart w:id="48" w:name="_Toc68388036"/>
      <w:bookmarkStart w:id="49" w:name="_Toc33016099"/>
      <w:r w:rsidRPr="004579A0">
        <w:rPr>
          <w:rFonts w:ascii="Open Sans" w:hAnsi="Open Sans" w:cs="Open Sans"/>
        </w:rPr>
        <w:t xml:space="preserve">Artigo </w:t>
      </w:r>
      <w:r w:rsidRPr="00E86500">
        <w:rPr>
          <w:rFonts w:ascii="Open Sans" w:hAnsi="Open Sans" w:cs="Open Sans"/>
        </w:rPr>
        <w:t xml:space="preserve">12.º | </w:t>
      </w:r>
      <w:r w:rsidRPr="004579A0">
        <w:rPr>
          <w:rFonts w:ascii="Open Sans" w:hAnsi="Open Sans" w:cs="Open Sans"/>
        </w:rPr>
        <w:t>Acesso às Instalações</w:t>
      </w:r>
      <w:bookmarkEnd w:id="47"/>
      <w:bookmarkEnd w:id="48"/>
    </w:p>
    <w:p w14:paraId="6F5B54B8" w14:textId="77777777" w:rsidR="00634B9F" w:rsidRPr="008464CC" w:rsidRDefault="00634B9F" w:rsidP="00634B9F">
      <w:pPr>
        <w:spacing w:after="240"/>
        <w:jc w:val="both"/>
        <w:rPr>
          <w:rFonts w:ascii="Open Sans" w:hAnsi="Open Sans" w:cs="Open Sans"/>
        </w:rPr>
      </w:pPr>
      <w:r w:rsidRPr="003D1DD5">
        <w:rPr>
          <w:rFonts w:ascii="Open Sans" w:hAnsi="Open Sans" w:cs="Open Sans"/>
        </w:rPr>
        <w:t>Não aplicável.</w:t>
      </w:r>
      <w:r>
        <w:rPr>
          <w:rFonts w:ascii="Open Sans" w:hAnsi="Open Sans" w:cs="Open Sans"/>
        </w:rPr>
        <w:t xml:space="preserve"> </w:t>
      </w:r>
    </w:p>
    <w:p w14:paraId="1DAC8A2D" w14:textId="1D76075C" w:rsidR="00211A67" w:rsidRPr="00F04951" w:rsidRDefault="00211A67" w:rsidP="00E86500">
      <w:pPr>
        <w:pStyle w:val="03Artigo"/>
        <w:rPr>
          <w:rFonts w:ascii="Open Sans" w:hAnsi="Open Sans" w:cs="Open Sans"/>
        </w:rPr>
      </w:pPr>
      <w:bookmarkStart w:id="50" w:name="_Toc68388037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13</w:t>
      </w:r>
      <w:r w:rsidRPr="00F04951">
        <w:rPr>
          <w:rFonts w:ascii="Open Sans" w:hAnsi="Open Sans" w:cs="Open Sans"/>
        </w:rPr>
        <w:t>.º | Prazo de apresentação da Proposta</w:t>
      </w:r>
      <w:bookmarkEnd w:id="45"/>
      <w:bookmarkEnd w:id="46"/>
      <w:bookmarkEnd w:id="49"/>
      <w:bookmarkEnd w:id="50"/>
    </w:p>
    <w:p w14:paraId="1DAC8A2E" w14:textId="6B06AEAA" w:rsidR="00211A67" w:rsidRPr="00F04951" w:rsidRDefault="00211A67" w:rsidP="00211A67">
      <w:pPr>
        <w:pStyle w:val="04Numerado1"/>
        <w:numPr>
          <w:ilvl w:val="0"/>
          <w:numId w:val="32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As propostas deverão ser entregues, impreterivelmente, e sob pena de exclusão, até às </w:t>
      </w:r>
      <w:r w:rsidR="00F8559C">
        <w:rPr>
          <w:rFonts w:ascii="Open Sans" w:hAnsi="Open Sans"/>
        </w:rPr>
        <w:t>09</w:t>
      </w:r>
      <w:r w:rsidR="00C2461E">
        <w:rPr>
          <w:rFonts w:ascii="Open Sans" w:hAnsi="Open Sans"/>
        </w:rPr>
        <w:t>:</w:t>
      </w:r>
      <w:r w:rsidR="00CF3C39">
        <w:rPr>
          <w:rFonts w:ascii="Open Sans" w:hAnsi="Open Sans"/>
        </w:rPr>
        <w:t>00</w:t>
      </w:r>
      <w:r w:rsidRPr="00F04951">
        <w:rPr>
          <w:rFonts w:ascii="Open Sans" w:hAnsi="Open Sans"/>
        </w:rPr>
        <w:t xml:space="preserve"> do dia </w:t>
      </w:r>
      <w:r w:rsidR="00F8559C">
        <w:rPr>
          <w:rFonts w:ascii="Open Sans" w:hAnsi="Open Sans"/>
        </w:rPr>
        <w:t>14</w:t>
      </w:r>
      <w:bookmarkStart w:id="51" w:name="_GoBack"/>
      <w:bookmarkEnd w:id="51"/>
      <w:r w:rsidR="008330AD">
        <w:rPr>
          <w:rFonts w:ascii="Open Sans" w:hAnsi="Open Sans"/>
        </w:rPr>
        <w:t>/</w:t>
      </w:r>
      <w:r w:rsidR="00007976">
        <w:rPr>
          <w:rFonts w:ascii="Open Sans" w:hAnsi="Open Sans"/>
        </w:rPr>
        <w:t>02</w:t>
      </w:r>
      <w:r w:rsidR="00C2461E">
        <w:rPr>
          <w:rFonts w:ascii="Open Sans" w:hAnsi="Open Sans"/>
        </w:rPr>
        <w:t>/202</w:t>
      </w:r>
      <w:r w:rsidR="00007976">
        <w:rPr>
          <w:rFonts w:ascii="Open Sans" w:hAnsi="Open Sans"/>
        </w:rPr>
        <w:t>3</w:t>
      </w:r>
      <w:r w:rsidRPr="00F04951">
        <w:rPr>
          <w:rFonts w:ascii="Open Sans" w:hAnsi="Open Sans"/>
        </w:rPr>
        <w:t xml:space="preserve"> através do meio eletrónico definido no artigo 5</w:t>
      </w:r>
      <w:r w:rsidR="007B6CD3" w:rsidRPr="00F04951">
        <w:rPr>
          <w:rFonts w:ascii="Open Sans" w:hAnsi="Open Sans"/>
        </w:rPr>
        <w:t>.º</w:t>
      </w:r>
      <w:r w:rsidRPr="00F04951">
        <w:rPr>
          <w:rFonts w:ascii="Open Sans" w:hAnsi="Open Sans"/>
        </w:rPr>
        <w:t>.</w:t>
      </w:r>
    </w:p>
    <w:p w14:paraId="1DAC8A2F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data fixada para a apresentação de propostas pode, a pedido dos interessados e em casos devidamente fundamentados, ser prorrogada por prazo adequado.</w:t>
      </w:r>
      <w:bookmarkStart w:id="52" w:name="_Toc507424581"/>
      <w:bookmarkStart w:id="53" w:name="_Toc525031935"/>
    </w:p>
    <w:p w14:paraId="1DAC8A30" w14:textId="54051C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4" w:name="_Toc33016100"/>
      <w:bookmarkStart w:id="55" w:name="_Toc68388038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14</w:t>
      </w:r>
      <w:r w:rsidRPr="00F04951">
        <w:rPr>
          <w:rFonts w:ascii="Open Sans" w:hAnsi="Open Sans" w:cs="Open Sans"/>
        </w:rPr>
        <w:t>.º | Modo de apresentação da Proposta</w:t>
      </w:r>
      <w:bookmarkEnd w:id="54"/>
      <w:bookmarkEnd w:id="55"/>
    </w:p>
    <w:p w14:paraId="1DAC8A31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A proposta e os respetivos documentos que a instruem serão apresentados através da plataforma eletrónica de contratação pública em vigor na Marinha – </w:t>
      </w:r>
      <w:hyperlink r:id="rId17" w:history="1">
        <w:r w:rsidRPr="00F04951">
          <w:rPr>
            <w:rStyle w:val="Hiperligao"/>
            <w:rFonts w:ascii="Open Sans" w:hAnsi="Open Sans"/>
            <w:color w:val="0070C0"/>
          </w:rPr>
          <w:t>www.acingov.pt</w:t>
        </w:r>
      </w:hyperlink>
      <w:r w:rsidRPr="00F04951">
        <w:rPr>
          <w:rFonts w:ascii="Open Sans" w:hAnsi="Open Sans"/>
        </w:rPr>
        <w:t>.</w:t>
      </w:r>
      <w:bookmarkStart w:id="56" w:name="_Toc524601831"/>
    </w:p>
    <w:p w14:paraId="1DAC8A32" w14:textId="632BF04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7" w:name="_Toc33016101"/>
      <w:bookmarkStart w:id="58" w:name="_Toc68388039"/>
      <w:r w:rsidRPr="00F04951">
        <w:rPr>
          <w:rFonts w:ascii="Open Sans" w:hAnsi="Open Sans" w:cs="Open Sans"/>
        </w:rPr>
        <w:lastRenderedPageBreak/>
        <w:t xml:space="preserve">Artigo </w:t>
      </w:r>
      <w:r w:rsidR="00634B9F">
        <w:rPr>
          <w:rFonts w:ascii="Open Sans" w:hAnsi="Open Sans" w:cs="Open Sans"/>
        </w:rPr>
        <w:t>15</w:t>
      </w:r>
      <w:r w:rsidRPr="00F04951">
        <w:rPr>
          <w:rFonts w:ascii="Open Sans" w:hAnsi="Open Sans" w:cs="Open Sans"/>
        </w:rPr>
        <w:t>.º | Propostas variantes</w:t>
      </w:r>
      <w:bookmarkEnd w:id="57"/>
      <w:bookmarkEnd w:id="58"/>
    </w:p>
    <w:p w14:paraId="1DAC8A33" w14:textId="72873332" w:rsidR="00211A67" w:rsidRPr="00F04951" w:rsidRDefault="00211A67" w:rsidP="00211A67">
      <w:pPr>
        <w:pStyle w:val="04Numerado1"/>
        <w:numPr>
          <w:ilvl w:val="0"/>
          <w:numId w:val="33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são admitidas propostas variantes ao presente procedimento, nos termos do n.º 7 do artigo 59.º do CCP.</w:t>
      </w:r>
    </w:p>
    <w:p w14:paraId="1DAC8A3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Não são admitidas, no contexto de cada lote (caso aplicável), propostas parciais.</w:t>
      </w:r>
    </w:p>
    <w:p w14:paraId="1DAC8A35" w14:textId="27AD8C11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9" w:name="_Toc33016102"/>
      <w:bookmarkStart w:id="60" w:name="_Toc68388040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16</w:t>
      </w:r>
      <w:r w:rsidRPr="00F04951">
        <w:rPr>
          <w:rFonts w:ascii="Open Sans" w:hAnsi="Open Sans" w:cs="Open Sans"/>
        </w:rPr>
        <w:t>.º | Prazo de Manutenção das Propostas</w:t>
      </w:r>
      <w:bookmarkEnd w:id="59"/>
      <w:bookmarkEnd w:id="60"/>
    </w:p>
    <w:p w14:paraId="1DAC8A3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O prazo mínimo de obrigação de manutenção das propostas é de 66 dias úteis.</w:t>
      </w:r>
    </w:p>
    <w:p w14:paraId="1DAC8A37" w14:textId="47E32B7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1" w:name="_Toc33016103"/>
      <w:bookmarkStart w:id="62" w:name="_Toc68388041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17</w:t>
      </w:r>
      <w:r w:rsidRPr="00F04951">
        <w:rPr>
          <w:rFonts w:ascii="Open Sans" w:hAnsi="Open Sans" w:cs="Open Sans"/>
        </w:rPr>
        <w:t>.º | Preço Base</w:t>
      </w:r>
      <w:bookmarkEnd w:id="61"/>
      <w:bookmarkEnd w:id="62"/>
    </w:p>
    <w:p w14:paraId="1DAC8A38" w14:textId="0DEC1A84" w:rsidR="00211A67" w:rsidRPr="00F04951" w:rsidRDefault="00211A67" w:rsidP="008459B6">
      <w:pPr>
        <w:pStyle w:val="04Numerado1"/>
        <w:numPr>
          <w:ilvl w:val="0"/>
          <w:numId w:val="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preço base para efeitos do presente procedimento é de </w:t>
      </w:r>
      <w:r w:rsidR="00007976">
        <w:rPr>
          <w:rFonts w:ascii="Open Sans" w:hAnsi="Open Sans"/>
        </w:rPr>
        <w:t>7</w:t>
      </w:r>
      <w:r w:rsidR="00BA534A">
        <w:rPr>
          <w:rFonts w:ascii="Open Sans" w:hAnsi="Open Sans"/>
        </w:rPr>
        <w:t>.</w:t>
      </w:r>
      <w:r w:rsidR="00007976">
        <w:rPr>
          <w:rFonts w:ascii="Open Sans" w:hAnsi="Open Sans"/>
        </w:rPr>
        <w:t>265,54</w:t>
      </w:r>
      <w:r w:rsidR="0072487A">
        <w:rPr>
          <w:rFonts w:ascii="Open Sans" w:hAnsi="Open Sans"/>
        </w:rPr>
        <w:t xml:space="preserve">€, enquanto montante </w:t>
      </w:r>
      <w:r w:rsidRPr="00F04951">
        <w:rPr>
          <w:rFonts w:ascii="Open Sans" w:hAnsi="Open Sans"/>
        </w:rPr>
        <w:t>máximo que a entidade adjudicante se dispõe a pagar pela execução de todas as prestações que constituem o objeto do contrato.</w:t>
      </w:r>
    </w:p>
    <w:p w14:paraId="1DAC8A3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63" w:name="_Toc33016104"/>
      <w:bookmarkStart w:id="64" w:name="_Toc68388042"/>
      <w:r w:rsidRPr="00F04951">
        <w:rPr>
          <w:rFonts w:ascii="Open Sans" w:hAnsi="Open Sans" w:cs="Open Sans"/>
        </w:rPr>
        <w:t>CAPÍTULO III – ANÁLISE DAS PROPOSTAS</w:t>
      </w:r>
      <w:bookmarkEnd w:id="63"/>
      <w:bookmarkEnd w:id="64"/>
    </w:p>
    <w:p w14:paraId="1DAC8A3E" w14:textId="38C96B8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5" w:name="_Toc33016105"/>
      <w:bookmarkStart w:id="66" w:name="_Toc68388043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18</w:t>
      </w:r>
      <w:r w:rsidRPr="00F04951">
        <w:rPr>
          <w:rFonts w:ascii="Open Sans" w:hAnsi="Open Sans" w:cs="Open Sans"/>
        </w:rPr>
        <w:t>.º | Critério de Adjudicação</w:t>
      </w:r>
      <w:bookmarkEnd w:id="56"/>
      <w:bookmarkEnd w:id="65"/>
      <w:r w:rsidR="00220248">
        <w:rPr>
          <w:rFonts w:ascii="Open Sans" w:hAnsi="Open Sans" w:cs="Open Sans"/>
        </w:rPr>
        <w:t xml:space="preserve"> e Modelo de Avaliação das Propostas</w:t>
      </w:r>
      <w:bookmarkEnd w:id="66"/>
    </w:p>
    <w:p w14:paraId="1DAC8A3F" w14:textId="56F9207D" w:rsidR="00211A67" w:rsidRDefault="00211A67" w:rsidP="00211A67">
      <w:pPr>
        <w:pStyle w:val="04Numerado1"/>
        <w:numPr>
          <w:ilvl w:val="0"/>
          <w:numId w:val="3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critério de adjudicação é o da proposta economicamente mais vantajosa, nos termos do disposto </w:t>
      </w:r>
      <w:r w:rsidR="007B7FD7" w:rsidRPr="00F04951">
        <w:rPr>
          <w:rFonts w:ascii="Open Sans" w:hAnsi="Open Sans"/>
        </w:rPr>
        <w:t>no</w:t>
      </w:r>
      <w:r w:rsidRPr="00F04951">
        <w:rPr>
          <w:rFonts w:ascii="Open Sans" w:hAnsi="Open Sans"/>
        </w:rPr>
        <w:t xml:space="preserve"> artigo 74</w:t>
      </w:r>
      <w:r w:rsidR="007B7FD7" w:rsidRPr="00F04951">
        <w:rPr>
          <w:rFonts w:ascii="Open Sans" w:hAnsi="Open Sans"/>
        </w:rPr>
        <w:t xml:space="preserve">.º n. º1, alínea </w:t>
      </w:r>
      <w:r w:rsidR="0072487A">
        <w:rPr>
          <w:rFonts w:ascii="Open Sans" w:hAnsi="Open Sans"/>
        </w:rPr>
        <w:t>b)</w:t>
      </w:r>
      <w:r w:rsidR="007B7FD7" w:rsidRPr="00F04951">
        <w:rPr>
          <w:rFonts w:ascii="Open Sans" w:hAnsi="Open Sans"/>
        </w:rPr>
        <w:t xml:space="preserve"> do CCP</w:t>
      </w:r>
      <w:r w:rsidRPr="00F04951">
        <w:rPr>
          <w:rFonts w:ascii="Open Sans" w:hAnsi="Open Sans"/>
        </w:rPr>
        <w:t>.</w:t>
      </w:r>
    </w:p>
    <w:p w14:paraId="3F29DC1C" w14:textId="5488A6CC" w:rsidR="006E0791" w:rsidRPr="006E0791" w:rsidRDefault="006E0791" w:rsidP="006E0791">
      <w:pPr>
        <w:pStyle w:val="04Numerado1"/>
        <w:numPr>
          <w:ilvl w:val="0"/>
          <w:numId w:val="35"/>
        </w:numPr>
        <w:rPr>
          <w:rFonts w:ascii="Open Sans" w:hAnsi="Open Sans"/>
        </w:rPr>
      </w:pPr>
      <w:bookmarkStart w:id="67" w:name="_Hlk68448154"/>
      <w:r w:rsidRPr="006E0791">
        <w:rPr>
          <w:rFonts w:ascii="Open Sans" w:hAnsi="Open Sans"/>
        </w:rPr>
        <w:t xml:space="preserve">O modelo de avaliação das propostas consta do anexo </w:t>
      </w:r>
      <w:r w:rsidR="001314F6">
        <w:rPr>
          <w:rFonts w:ascii="Open Sans" w:hAnsi="Open Sans"/>
        </w:rPr>
        <w:t>D</w:t>
      </w:r>
      <w:r w:rsidRPr="006E0791">
        <w:rPr>
          <w:rFonts w:ascii="Open Sans" w:hAnsi="Open Sans"/>
        </w:rPr>
        <w:t xml:space="preserve"> ao presente </w:t>
      </w:r>
      <w:r w:rsidR="001314F6">
        <w:rPr>
          <w:rFonts w:ascii="Open Sans" w:hAnsi="Open Sans"/>
        </w:rPr>
        <w:t>convite</w:t>
      </w:r>
      <w:r w:rsidRPr="006E0791">
        <w:rPr>
          <w:rFonts w:ascii="Open Sans" w:hAnsi="Open Sans"/>
        </w:rPr>
        <w:t>, no caso de o critério de adjudicação ser o previsto no artigo 74.º n. º 1 alínea a).</w:t>
      </w:r>
    </w:p>
    <w:bookmarkEnd w:id="67"/>
    <w:p w14:paraId="1DAC8A4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Os preços propostos por lote devem ter em consideração os preços base unitários, caso aplicável.</w:t>
      </w:r>
    </w:p>
    <w:p w14:paraId="1DAC8A41" w14:textId="4047CD0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Após aplicação do critério de adjudicação, e se se verificar a situação de empate entre dois ou mais concorrentes, será aplicado o critério por ordem decrescente de ponderação dos fatore</w:t>
      </w:r>
      <w:r w:rsidR="0086640D">
        <w:rPr>
          <w:rFonts w:ascii="Open Sans" w:hAnsi="Open Sans"/>
        </w:rPr>
        <w:t>s</w:t>
      </w:r>
      <w:r w:rsidRPr="00F04951">
        <w:rPr>
          <w:rFonts w:ascii="Open Sans" w:hAnsi="Open Sans"/>
        </w:rPr>
        <w:t>. Será adjudicada a proposta que reunir mais pontuação no fator que tiver maior peso.  Se se verificar situação de empate, será efetuado o mesmo exercício para o ou os fatores seguintes.</w:t>
      </w:r>
    </w:p>
    <w:p w14:paraId="1DAC8A42" w14:textId="54612EF8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caso de mesmo assim se verificar uma situação de empate entre os concorrentes, serão os mesmos notificados, via correio eletrónico, para comparecerem na data e hora que lhes venha a ser indicada e na morada identificada no presente </w:t>
      </w:r>
      <w:r w:rsidR="00DB63BA">
        <w:rPr>
          <w:rFonts w:ascii="Open Sans" w:hAnsi="Open Sans"/>
        </w:rPr>
        <w:t>Convite</w:t>
      </w:r>
      <w:r w:rsidRPr="00F04951">
        <w:rPr>
          <w:rFonts w:ascii="Open Sans" w:hAnsi="Open Sans"/>
        </w:rPr>
        <w:t xml:space="preserve"> do Procedimento, para a aplicação do método de sorteio, não sendo, no entanto, obrigatória a sua presença. O sorteio consistirá na identificação dos nomes dos concorrentes, em folhas de formato A5 dobradas em 4 partes iguais e colocadas num saco preto, sendo tirada à sorte apenas uma das folhas por um elemento do júri. A adjudicação será efetuada ao concorrente identificado na folha sorteada. Este sorteio será realizado na presença de pelo menos dois elementos do júri e dos representantes das firmas notificadas e que se queiram fazer representar.</w:t>
      </w:r>
    </w:p>
    <w:p w14:paraId="1DAC8A43" w14:textId="3B31D4ED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8" w:name="_Toc33016106"/>
      <w:bookmarkStart w:id="69" w:name="_Toc68388044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19</w:t>
      </w:r>
      <w:r w:rsidRPr="00F04951">
        <w:rPr>
          <w:rFonts w:ascii="Open Sans" w:hAnsi="Open Sans" w:cs="Open Sans"/>
        </w:rPr>
        <w:t>.º | Fase de Negociação</w:t>
      </w:r>
      <w:bookmarkEnd w:id="68"/>
      <w:bookmarkEnd w:id="69"/>
      <w:r w:rsidRPr="00F04951">
        <w:rPr>
          <w:rFonts w:ascii="Open Sans" w:hAnsi="Open Sans" w:cs="Open Sans"/>
        </w:rPr>
        <w:t xml:space="preserve"> </w:t>
      </w:r>
    </w:p>
    <w:p w14:paraId="1DAC8A44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As propostas apresentadas não serão objeto de negociação.</w:t>
      </w:r>
    </w:p>
    <w:p w14:paraId="1DAC8A45" w14:textId="01C258A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0" w:name="_Toc33016107"/>
      <w:bookmarkStart w:id="71" w:name="_Toc68388045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20</w:t>
      </w:r>
      <w:r w:rsidRPr="00F04951">
        <w:rPr>
          <w:rFonts w:ascii="Open Sans" w:hAnsi="Open Sans" w:cs="Open Sans"/>
        </w:rPr>
        <w:t>.º | Leilão Eletrónico</w:t>
      </w:r>
      <w:bookmarkEnd w:id="70"/>
      <w:bookmarkEnd w:id="71"/>
    </w:p>
    <w:p w14:paraId="1DAC8A4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  <w:bookmarkStart w:id="72" w:name="_Toc507424585"/>
      <w:bookmarkStart w:id="73" w:name="_Toc525031936"/>
      <w:bookmarkEnd w:id="52"/>
      <w:bookmarkEnd w:id="53"/>
    </w:p>
    <w:p w14:paraId="1DAC8A47" w14:textId="17CF95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4" w:name="_Toc33016108"/>
      <w:bookmarkStart w:id="75" w:name="_Toc68388046"/>
      <w:r w:rsidRPr="00F04951">
        <w:rPr>
          <w:rFonts w:ascii="Open Sans" w:hAnsi="Open Sans" w:cs="Open Sans"/>
        </w:rPr>
        <w:lastRenderedPageBreak/>
        <w:t xml:space="preserve">Artigo </w:t>
      </w:r>
      <w:r w:rsidR="0086640D">
        <w:rPr>
          <w:rFonts w:ascii="Open Sans" w:hAnsi="Open Sans" w:cs="Open Sans"/>
        </w:rPr>
        <w:t>21</w:t>
      </w:r>
      <w:r w:rsidRPr="00F04951">
        <w:rPr>
          <w:rFonts w:ascii="Open Sans" w:hAnsi="Open Sans" w:cs="Open Sans"/>
        </w:rPr>
        <w:t>.º | Admissão e Exclusão de Propostas</w:t>
      </w:r>
      <w:bookmarkEnd w:id="72"/>
      <w:bookmarkEnd w:id="73"/>
      <w:bookmarkEnd w:id="74"/>
      <w:bookmarkEnd w:id="75"/>
    </w:p>
    <w:p w14:paraId="1DAC8A48" w14:textId="77777777" w:rsidR="00211A67" w:rsidRPr="00F04951" w:rsidRDefault="00211A67" w:rsidP="00211A67">
      <w:pPr>
        <w:pStyle w:val="04Numerado1"/>
        <w:numPr>
          <w:ilvl w:val="0"/>
          <w:numId w:val="36"/>
        </w:numPr>
        <w:rPr>
          <w:rFonts w:ascii="Open Sans" w:hAnsi="Open Sans"/>
        </w:rPr>
      </w:pPr>
      <w:r w:rsidRPr="00F04951">
        <w:rPr>
          <w:rFonts w:ascii="Open Sans" w:hAnsi="Open Sans"/>
        </w:rPr>
        <w:t>Sem prejuízo de outros motivos previstos na lei, são excluídas as propostas nas seguintes situações:</w:t>
      </w:r>
    </w:p>
    <w:p w14:paraId="1DAC8A49" w14:textId="77777777" w:rsidR="00211A67" w:rsidRPr="00F04951" w:rsidRDefault="00211A67" w:rsidP="00211A67">
      <w:pPr>
        <w:pStyle w:val="05Numerado2"/>
        <w:numPr>
          <w:ilvl w:val="0"/>
          <w:numId w:val="37"/>
        </w:numPr>
        <w:rPr>
          <w:rFonts w:ascii="Open Sans" w:hAnsi="Open Sans"/>
        </w:rPr>
      </w:pPr>
      <w:r w:rsidRPr="00F04951">
        <w:rPr>
          <w:rFonts w:ascii="Open Sans" w:hAnsi="Open Sans"/>
        </w:rPr>
        <w:t>Nos termos previstos no n.º 2 do artigo 122.º do CCP;</w:t>
      </w:r>
    </w:p>
    <w:p w14:paraId="1DAC8A4B" w14:textId="7F3F1F1A" w:rsidR="00211A67" w:rsidRPr="00BB5B7F" w:rsidRDefault="00211A67" w:rsidP="00BB5B7F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sejam constituídas por todos os documentos exigidos;</w:t>
      </w:r>
      <w:bookmarkStart w:id="76" w:name="_Toc505172411"/>
      <w:bookmarkStart w:id="77" w:name="_Toc524594458"/>
      <w:bookmarkStart w:id="78" w:name="_Toc505172415"/>
      <w:bookmarkStart w:id="79" w:name="_Toc525031937"/>
      <w:bookmarkStart w:id="80" w:name="_Toc507424588"/>
    </w:p>
    <w:p w14:paraId="1DAC8A4C" w14:textId="7A65C9E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1" w:name="_Toc33016109"/>
      <w:bookmarkStart w:id="82" w:name="_Toc68388047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22</w:t>
      </w:r>
      <w:r w:rsidRPr="00F04951">
        <w:rPr>
          <w:rFonts w:ascii="Open Sans" w:hAnsi="Open Sans" w:cs="Open Sans"/>
        </w:rPr>
        <w:t>.º | Relatório preliminar</w:t>
      </w:r>
      <w:bookmarkEnd w:id="76"/>
      <w:bookmarkEnd w:id="77"/>
      <w:bookmarkEnd w:id="81"/>
      <w:bookmarkEnd w:id="82"/>
      <w:r w:rsidRPr="00F04951">
        <w:rPr>
          <w:rFonts w:ascii="Open Sans" w:hAnsi="Open Sans" w:cs="Open Sans"/>
        </w:rPr>
        <w:t xml:space="preserve"> </w:t>
      </w:r>
    </w:p>
    <w:p w14:paraId="1DAC8A4D" w14:textId="77777777" w:rsidR="00211A67" w:rsidRPr="00F04951" w:rsidRDefault="00211A67" w:rsidP="00211A67">
      <w:pPr>
        <w:pStyle w:val="04Numerado1"/>
        <w:numPr>
          <w:ilvl w:val="0"/>
          <w:numId w:val="3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Após a análise das propostas e a aplicação do critério de adjudicação o Júri elabora um relatório preliminar fundamentado no qual deve propor a ordenação das mesmas. </w:t>
      </w:r>
    </w:p>
    <w:p w14:paraId="1DAC8A4E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relatório preliminar, o Júri deve também propor a exclusão das propostas. </w:t>
      </w:r>
    </w:p>
    <w:p w14:paraId="1DAC8A4F" w14:textId="2DFFC9B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3" w:name="_Toc505172413"/>
      <w:bookmarkStart w:id="84" w:name="_Toc524594460"/>
      <w:bookmarkStart w:id="85" w:name="_Toc33016110"/>
      <w:bookmarkStart w:id="86" w:name="_Toc68388048"/>
      <w:bookmarkStart w:id="87" w:name="_Toc507424586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23</w:t>
      </w:r>
      <w:r w:rsidRPr="00F04951">
        <w:rPr>
          <w:rFonts w:ascii="Open Sans" w:hAnsi="Open Sans" w:cs="Open Sans"/>
        </w:rPr>
        <w:t>.º | Audiência prévia</w:t>
      </w:r>
      <w:bookmarkEnd w:id="83"/>
      <w:bookmarkEnd w:id="84"/>
      <w:bookmarkEnd w:id="85"/>
      <w:bookmarkEnd w:id="86"/>
      <w:r w:rsidRPr="00F04951">
        <w:rPr>
          <w:rFonts w:ascii="Open Sans" w:hAnsi="Open Sans" w:cs="Open Sans"/>
        </w:rPr>
        <w:t xml:space="preserve"> </w:t>
      </w:r>
    </w:p>
    <w:p w14:paraId="1DAC8A50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Elaborado o relatório preliminar, o Júri envia-o a todos os concorrentes para que, querendo, se pronunciem por escrito através da plataforma no prazo de 3 (três) dias úteis.</w:t>
      </w:r>
      <w:bookmarkStart w:id="88" w:name="_Toc505172414"/>
      <w:bookmarkStart w:id="89" w:name="_Toc524594461"/>
      <w:bookmarkStart w:id="90" w:name="_Toc507424587"/>
      <w:bookmarkEnd w:id="87"/>
    </w:p>
    <w:p w14:paraId="1DAC8A51" w14:textId="48EA0B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1" w:name="_Toc33016111"/>
      <w:bookmarkStart w:id="92" w:name="_Toc68388049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24</w:t>
      </w:r>
      <w:r w:rsidRPr="00F04951">
        <w:rPr>
          <w:rFonts w:ascii="Open Sans" w:hAnsi="Open Sans" w:cs="Open Sans"/>
        </w:rPr>
        <w:t>.º | Relatório final</w:t>
      </w:r>
      <w:bookmarkEnd w:id="91"/>
      <w:bookmarkEnd w:id="92"/>
      <w:r w:rsidRPr="00F04951">
        <w:rPr>
          <w:rFonts w:ascii="Open Sans" w:hAnsi="Open Sans" w:cs="Open Sans"/>
        </w:rPr>
        <w:t xml:space="preserve"> </w:t>
      </w:r>
      <w:bookmarkEnd w:id="88"/>
      <w:bookmarkEnd w:id="89"/>
      <w:r w:rsidRPr="00F04951">
        <w:rPr>
          <w:rFonts w:ascii="Open Sans" w:hAnsi="Open Sans" w:cs="Open Sans"/>
        </w:rPr>
        <w:t xml:space="preserve"> </w:t>
      </w:r>
    </w:p>
    <w:p w14:paraId="1DAC8A52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Cumprido o disposto no artigo anterior, o Júri elabora um relatório final fundamentado nos termos do disposto no artigo 124.º do CCP.</w:t>
      </w:r>
    </w:p>
    <w:p w14:paraId="1DAC8A53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93" w:name="_Toc33016112"/>
      <w:bookmarkStart w:id="94" w:name="_Toc68388050"/>
      <w:r w:rsidRPr="00F04951">
        <w:rPr>
          <w:rFonts w:ascii="Open Sans" w:hAnsi="Open Sans" w:cs="Open Sans"/>
        </w:rPr>
        <w:t>CAPÍTULO IV – ADJUDICAÇÃO</w:t>
      </w:r>
      <w:bookmarkEnd w:id="93"/>
      <w:bookmarkEnd w:id="94"/>
    </w:p>
    <w:p w14:paraId="1DAC8A54" w14:textId="55C748A5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5" w:name="_Toc33016113"/>
      <w:bookmarkStart w:id="96" w:name="_Toc68388051"/>
      <w:bookmarkEnd w:id="90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25</w:t>
      </w:r>
      <w:r w:rsidRPr="00F04951">
        <w:rPr>
          <w:rFonts w:ascii="Open Sans" w:hAnsi="Open Sans" w:cs="Open Sans"/>
        </w:rPr>
        <w:t>.º | Adjudicação</w:t>
      </w:r>
      <w:bookmarkEnd w:id="78"/>
      <w:bookmarkEnd w:id="79"/>
      <w:bookmarkEnd w:id="95"/>
      <w:bookmarkEnd w:id="96"/>
    </w:p>
    <w:p w14:paraId="1DAC8A55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adjudicação será efetuada ao concorrente que, em cada lote, se posicione no primeiro lugar da ordenação final.</w:t>
      </w:r>
    </w:p>
    <w:p w14:paraId="1DAC8A56" w14:textId="593ACF6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7" w:name="_Toc33016114"/>
      <w:bookmarkStart w:id="98" w:name="_Toc68388052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26</w:t>
      </w:r>
      <w:r w:rsidRPr="00F04951">
        <w:rPr>
          <w:rFonts w:ascii="Open Sans" w:hAnsi="Open Sans" w:cs="Open Sans"/>
        </w:rPr>
        <w:t>.º | Notificação da decisão de adjudicação</w:t>
      </w:r>
      <w:bookmarkEnd w:id="97"/>
      <w:bookmarkEnd w:id="98"/>
      <w:r w:rsidRPr="00F04951">
        <w:rPr>
          <w:rFonts w:ascii="Open Sans" w:hAnsi="Open Sans" w:cs="Open Sans"/>
        </w:rPr>
        <w:t xml:space="preserve"> </w:t>
      </w:r>
    </w:p>
    <w:p w14:paraId="1DAC8A57" w14:textId="77777777" w:rsidR="00211A67" w:rsidRPr="00F04951" w:rsidRDefault="00211A67" w:rsidP="00211A67">
      <w:pPr>
        <w:pStyle w:val="04Numerado1"/>
        <w:numPr>
          <w:ilvl w:val="0"/>
          <w:numId w:val="39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órgão competente para a decisão de contratar notifica todos os concorrentes da decisão, remetendo-lhes o relatório final de análise das propostas. </w:t>
      </w:r>
    </w:p>
    <w:p w14:paraId="1DAC8A5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decisão de adjudicação deverá ser notificada aos concorrentes até ao termo do prazo da obrigação de manutenção das propostas, nos termos do disposto no n.º 1 do artigo 76.º do CCP. </w:t>
      </w:r>
    </w:p>
    <w:p w14:paraId="1DAC8A5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Juntamente com a notificação da decisão de adjudicação, o adjudicatário é notificado para: </w:t>
      </w:r>
    </w:p>
    <w:p w14:paraId="1DAC8A5A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Apresentar os documentos de habilitação exigidos nos termos do disposto no presente convite;</w:t>
      </w:r>
    </w:p>
    <w:p w14:paraId="1DAC8A5B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Confirmar, no prazo de dez dias, se for o caso, os compromissos assumidos por terceiras entidades relativos a atributos ou a termos ou condições das propostas adjudicadas; </w:t>
      </w:r>
    </w:p>
    <w:p w14:paraId="1DAC8A5C" w14:textId="26C184AD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Pronunciar-se sobre a minuta de contrato</w:t>
      </w:r>
      <w:r w:rsidR="001314F6">
        <w:rPr>
          <w:rFonts w:ascii="Open Sans" w:hAnsi="Open Sans"/>
        </w:rPr>
        <w:t>, no prazo máximo de 5 dias a contar da notificação de adjudicação</w:t>
      </w:r>
      <w:r w:rsidRPr="00F04951">
        <w:rPr>
          <w:rFonts w:ascii="Open Sans" w:hAnsi="Open Sans"/>
        </w:rPr>
        <w:t xml:space="preserve">. </w:t>
      </w:r>
      <w:bookmarkStart w:id="99" w:name="_Toc505172416"/>
      <w:bookmarkStart w:id="100" w:name="_Toc525031938"/>
      <w:bookmarkStart w:id="101" w:name="_Toc507424589"/>
      <w:bookmarkEnd w:id="80"/>
    </w:p>
    <w:p w14:paraId="1DAC8A5D" w14:textId="4033D77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2" w:name="_Toc33016115"/>
      <w:bookmarkStart w:id="103" w:name="_Toc68388053"/>
      <w:r w:rsidRPr="00F04951">
        <w:rPr>
          <w:rFonts w:ascii="Open Sans" w:hAnsi="Open Sans" w:cs="Open Sans"/>
        </w:rPr>
        <w:lastRenderedPageBreak/>
        <w:t xml:space="preserve">Artigo </w:t>
      </w:r>
      <w:r w:rsidR="00E72793">
        <w:rPr>
          <w:rFonts w:ascii="Open Sans" w:hAnsi="Open Sans" w:cs="Open Sans"/>
        </w:rPr>
        <w:t>27</w:t>
      </w:r>
      <w:r w:rsidRPr="00F04951">
        <w:rPr>
          <w:rFonts w:ascii="Open Sans" w:hAnsi="Open Sans" w:cs="Open Sans"/>
        </w:rPr>
        <w:t>.º | Documentos de Habilitação</w:t>
      </w:r>
      <w:bookmarkEnd w:id="99"/>
      <w:bookmarkEnd w:id="100"/>
      <w:bookmarkEnd w:id="102"/>
      <w:bookmarkEnd w:id="103"/>
    </w:p>
    <w:p w14:paraId="1DAC8A5E" w14:textId="77777777" w:rsidR="00211A67" w:rsidRPr="00F04951" w:rsidRDefault="00211A67" w:rsidP="00211A67">
      <w:pPr>
        <w:pStyle w:val="04Numerado1"/>
        <w:numPr>
          <w:ilvl w:val="0"/>
          <w:numId w:val="4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deve entregar, no prazo de 5 dias úteis a contar da notificação da decisão de adjudicação, os seguintes documentos de habilitação: </w:t>
      </w:r>
    </w:p>
    <w:p w14:paraId="1DAC8A5F" w14:textId="77777777" w:rsidR="00211A67" w:rsidRPr="00F04951" w:rsidRDefault="00211A67" w:rsidP="00211A67">
      <w:pPr>
        <w:pStyle w:val="05Numerado2"/>
        <w:numPr>
          <w:ilvl w:val="0"/>
          <w:numId w:val="41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Declaração elaborada de acordo com o anexo II ao CCP</w:t>
      </w:r>
      <w:r w:rsidRPr="00F04951">
        <w:rPr>
          <w:rFonts w:ascii="Open Sans" w:hAnsi="Open Sans"/>
        </w:rPr>
        <w:t>, constante em anexo A ao presente Convite;</w:t>
      </w:r>
    </w:p>
    <w:p w14:paraId="1DAC8A60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Certificado de registo criminal</w:t>
      </w:r>
      <w:r w:rsidRPr="00F04951">
        <w:rPr>
          <w:rFonts w:ascii="Open Sans" w:hAnsi="Open Sans"/>
        </w:rPr>
        <w:t xml:space="preserve"> da pessoa coletiva e de todos os titulares dos órgãos sociais da pessoa coletiva ou de pessoa singular, quando aplicável;</w:t>
      </w:r>
    </w:p>
    <w:p w14:paraId="1DAC8A61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impostos ao Estado</w:t>
      </w:r>
      <w:r w:rsidRPr="00F04951">
        <w:rPr>
          <w:rFonts w:ascii="Open Sans" w:hAnsi="Open Sans"/>
        </w:rPr>
        <w:t>;</w:t>
      </w:r>
    </w:p>
    <w:p w14:paraId="1DAC8A62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contribuições para a segurança social</w:t>
      </w:r>
      <w:r w:rsidRPr="00F04951">
        <w:rPr>
          <w:rFonts w:ascii="Open Sans" w:hAnsi="Open Sans"/>
        </w:rPr>
        <w:t xml:space="preserve"> ao Estado;</w:t>
      </w:r>
    </w:p>
    <w:p w14:paraId="1DAC8A63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 Permanente de Registo Comercial</w:t>
      </w:r>
      <w:r w:rsidRPr="00F04951">
        <w:rPr>
          <w:rFonts w:ascii="Open Sans" w:hAnsi="Open Sans"/>
        </w:rPr>
        <w:t>.</w:t>
      </w:r>
    </w:p>
    <w:p w14:paraId="1DAC8A6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Optativamente, pode o adjudicatário emitir uma autorização à entidade adjudicante para obter a referida informação junto das entidades competentes.</w:t>
      </w:r>
    </w:p>
    <w:p w14:paraId="1DAC8A6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Caso sejam detetadas não conformidades nos documentos de habilitação entregues pelo adjudicatário, nos termos do n.º 2 do artigo 86.º do CCP, será concedido um prazo adicional, a definir em função das razões invocadas, para o seu suprimento.</w:t>
      </w:r>
    </w:p>
    <w:p w14:paraId="692DF5DD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>Quando o facto a que se refere o número anterior se verifique por causa não imputável ao adjudicatário a entidade adjudicante, em função das razões invocadas, notifica o adjudicatário para a apresentar os documentos em falta, fixando-lhe um prazo adicional de 5 (cinco) dias úteis para o efeito, sob pena de caducidade da adjudicação, nos termos previstos no artigo 86.º do CCP.</w:t>
      </w:r>
    </w:p>
    <w:p w14:paraId="233DFEAC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 xml:space="preserve">A adjudicação caduca se, por facto que lhe seja imputável, o adjudicatário não apresentar os documentos de habilitação no prazo fixado no presente Convite. </w:t>
      </w:r>
    </w:p>
    <w:p w14:paraId="1DAC8A68" w14:textId="00717FA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4" w:name="_Toc33016116"/>
      <w:bookmarkStart w:id="105" w:name="_Toc68388054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28</w:t>
      </w:r>
      <w:r w:rsidRPr="00F04951">
        <w:rPr>
          <w:rFonts w:ascii="Open Sans" w:hAnsi="Open Sans" w:cs="Open Sans"/>
        </w:rPr>
        <w:t>.º | Idioma dos Documentos de Habilitação</w:t>
      </w:r>
      <w:bookmarkEnd w:id="104"/>
      <w:bookmarkEnd w:id="105"/>
    </w:p>
    <w:p w14:paraId="1DAC8A69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Todos os documentos de habilitação devem ser redigidos em língua portuguesa. </w:t>
      </w:r>
    </w:p>
    <w:p w14:paraId="1DAC8A6A" w14:textId="6195EE7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Quando, pela sua própria natureza ou origem, os documentos de habilitação estiverem redigidos em língua estrangeira, </w:t>
      </w:r>
      <w:r w:rsidR="0078753B" w:rsidRPr="00F04951">
        <w:rPr>
          <w:rFonts w:ascii="Open Sans" w:hAnsi="Open Sans"/>
        </w:rPr>
        <w:t>deve o adjudicatário</w:t>
      </w:r>
      <w:r w:rsidRPr="00F04951">
        <w:rPr>
          <w:rFonts w:ascii="Open Sans" w:hAnsi="Open Sans"/>
        </w:rPr>
        <w:t xml:space="preserve"> fazê-los acompanhar de tradução devidamente legalizada. </w:t>
      </w:r>
      <w:bookmarkStart w:id="106" w:name="_Toc505172417"/>
      <w:bookmarkStart w:id="107" w:name="_Toc525031939"/>
    </w:p>
    <w:p w14:paraId="1DAC8A6B" w14:textId="1D3B26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8" w:name="_Toc33016117"/>
      <w:bookmarkStart w:id="109" w:name="_Toc68388055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29</w:t>
      </w:r>
      <w:r w:rsidRPr="00F04951">
        <w:rPr>
          <w:rFonts w:ascii="Open Sans" w:hAnsi="Open Sans" w:cs="Open Sans"/>
        </w:rPr>
        <w:t>.º | Caução</w:t>
      </w:r>
      <w:bookmarkEnd w:id="106"/>
      <w:bookmarkEnd w:id="107"/>
      <w:bookmarkEnd w:id="108"/>
      <w:bookmarkEnd w:id="109"/>
    </w:p>
    <w:p w14:paraId="1DAC8A6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</w:p>
    <w:p w14:paraId="1DAC8A6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10" w:name="_Toc33016118"/>
      <w:bookmarkStart w:id="111" w:name="_Toc68388056"/>
      <w:r w:rsidRPr="00F04951">
        <w:rPr>
          <w:rFonts w:ascii="Open Sans" w:hAnsi="Open Sans" w:cs="Open Sans"/>
        </w:rPr>
        <w:t>CAPÍTULO V – CONTRATO</w:t>
      </w:r>
      <w:bookmarkEnd w:id="110"/>
      <w:bookmarkEnd w:id="111"/>
    </w:p>
    <w:p w14:paraId="1DAC8A6E" w14:textId="0149671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2" w:name="_Toc33016119"/>
      <w:bookmarkStart w:id="113" w:name="_Toc68388057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30</w:t>
      </w:r>
      <w:r w:rsidRPr="00F04951">
        <w:rPr>
          <w:rFonts w:ascii="Open Sans" w:hAnsi="Open Sans" w:cs="Open Sans"/>
        </w:rPr>
        <w:t>.º | Minuta do Contrato</w:t>
      </w:r>
      <w:bookmarkEnd w:id="112"/>
      <w:bookmarkEnd w:id="113"/>
    </w:p>
    <w:p w14:paraId="1DAC8A6F" w14:textId="77777777" w:rsidR="00211A67" w:rsidRPr="00F04951" w:rsidRDefault="00211A67" w:rsidP="00211A67">
      <w:pPr>
        <w:pStyle w:val="04Numerado1"/>
        <w:numPr>
          <w:ilvl w:val="0"/>
          <w:numId w:val="42"/>
        </w:numPr>
        <w:rPr>
          <w:rFonts w:ascii="Open Sans" w:hAnsi="Open Sans"/>
        </w:rPr>
      </w:pPr>
      <w:r w:rsidRPr="00F04951">
        <w:rPr>
          <w:rFonts w:ascii="Open Sans" w:hAnsi="Open Sans"/>
        </w:rPr>
        <w:t>A minuta do Contrato é aprovada pelo órgão competente para a decisão de contratar e notificada ao adjudicatário em simultâneo com a decisão de adjudicação, nos termos do disposto no n.º 1 do artigo 98.º.</w:t>
      </w:r>
    </w:p>
    <w:p w14:paraId="1DAC8A7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minuta do contrato será notificada ao adjudicatário nos termos do disposto no n.º 1 do artigo 100.º do CCP.</w:t>
      </w:r>
    </w:p>
    <w:p w14:paraId="1DAC8A7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lastRenderedPageBreak/>
        <w:t>A minuta do Contrato a celebrar e os ajustamentos propostos consideram-se aceites pelo adjudicatário quando haja aceitação expressa ou quando não haja reclamação nos 2 (dois) dias subsequentes à respetiva notificação.</w:t>
      </w:r>
    </w:p>
    <w:p w14:paraId="1DAC8A72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reclamação da minuta do Contrato a celebrar só pode ter por fundamento a previsão de obrigações que contrariem ou que não constem dos documentos que integram o contrato, dos termos do disposto no n.º 2 e 5 do artigo 96.º do CCP, ou ainda a recusa dos ajustamentos propostos.</w:t>
      </w:r>
    </w:p>
    <w:p w14:paraId="1DAC8A73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prazo de 10 (dez) dias a contar da receção da reclamação, o órgão que aprovou a minuta do contrato notifica o adjudicatário da sua decisão, equivalendo o silêncio à rejeição da reclamação.</w:t>
      </w:r>
      <w:bookmarkStart w:id="114" w:name="_Toc505172418"/>
      <w:bookmarkStart w:id="115" w:name="_Toc525031940"/>
      <w:bookmarkEnd w:id="101"/>
    </w:p>
    <w:p w14:paraId="1DAC8A74" w14:textId="0F0C589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6" w:name="_Toc33016120"/>
      <w:bookmarkStart w:id="117" w:name="_Toc68388058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31</w:t>
      </w:r>
      <w:r w:rsidRPr="00F04951">
        <w:rPr>
          <w:rFonts w:ascii="Open Sans" w:hAnsi="Open Sans" w:cs="Open Sans"/>
        </w:rPr>
        <w:t xml:space="preserve">.º | </w:t>
      </w:r>
      <w:r w:rsidR="00E72793">
        <w:rPr>
          <w:rFonts w:ascii="Open Sans" w:hAnsi="Open Sans" w:cs="Open Sans"/>
        </w:rPr>
        <w:t>Outorga do</w:t>
      </w:r>
      <w:r w:rsidRPr="00F04951">
        <w:rPr>
          <w:rFonts w:ascii="Open Sans" w:hAnsi="Open Sans" w:cs="Open Sans"/>
        </w:rPr>
        <w:t xml:space="preserve"> Contrato</w:t>
      </w:r>
      <w:bookmarkEnd w:id="114"/>
      <w:bookmarkEnd w:id="115"/>
      <w:bookmarkEnd w:id="116"/>
      <w:bookmarkEnd w:id="117"/>
    </w:p>
    <w:p w14:paraId="1DAC8A75" w14:textId="77777777" w:rsidR="00211A67" w:rsidRPr="00F04951" w:rsidRDefault="00211A67" w:rsidP="00211A67">
      <w:pPr>
        <w:pStyle w:val="04Numerado1"/>
        <w:numPr>
          <w:ilvl w:val="0"/>
          <w:numId w:val="43"/>
        </w:numPr>
        <w:rPr>
          <w:rFonts w:ascii="Open Sans" w:hAnsi="Open Sans"/>
        </w:rPr>
      </w:pPr>
      <w:r w:rsidRPr="00F04951">
        <w:rPr>
          <w:rFonts w:ascii="Open Sans" w:hAnsi="Open Sans"/>
        </w:rPr>
        <w:t>Caso aplicável, será celebrado contrato escrito nos termos do artigo 95.º do CCP. A formação e a formalização do texto do mesmo obedecerão ao procedimento descrito nos artigos 94.º a 106.º do CCP.</w:t>
      </w:r>
    </w:p>
    <w:p w14:paraId="1DAC8A76" w14:textId="0141336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obriga-se a disponibilizar, simultaneamente com a entrega dos bens objeto do contrato, toda documentação que seja necessária ao bom cumprimento do </w:t>
      </w:r>
      <w:r w:rsidR="009A44D0">
        <w:rPr>
          <w:rFonts w:ascii="Open Sans" w:hAnsi="Open Sans"/>
        </w:rPr>
        <w:t>mesmo</w:t>
      </w:r>
      <w:r w:rsidRPr="00F04951">
        <w:rPr>
          <w:rFonts w:ascii="Open Sans" w:hAnsi="Open Sans"/>
        </w:rPr>
        <w:t>.</w:t>
      </w:r>
    </w:p>
    <w:p w14:paraId="1DAC8A77" w14:textId="77777777" w:rsidR="00211A67" w:rsidRPr="00F04951" w:rsidRDefault="00211A67" w:rsidP="00211A67">
      <w:pPr>
        <w:pStyle w:val="Numerado1"/>
        <w:numPr>
          <w:ilvl w:val="0"/>
          <w:numId w:val="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contrato a celebrar no âmbito do presente procedimento será publicitado em </w:t>
      </w:r>
      <w:hyperlink r:id="rId18" w:history="1">
        <w:r w:rsidRPr="00F04951">
          <w:rPr>
            <w:rStyle w:val="Hiperligao"/>
            <w:rFonts w:ascii="Open Sans" w:hAnsi="Open Sans"/>
            <w:color w:val="0070C0"/>
            <w:lang w:eastAsia="pt-PT"/>
          </w:rPr>
          <w:t>www.base.gov.pt</w:t>
        </w:r>
      </w:hyperlink>
      <w:r w:rsidRPr="00F04951">
        <w:rPr>
          <w:rFonts w:ascii="Open Sans" w:hAnsi="Open Sans"/>
        </w:rPr>
        <w:t>.</w:t>
      </w:r>
    </w:p>
    <w:p w14:paraId="1DAC8A78" w14:textId="3D5E2BB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8" w:name="_Toc33016121"/>
      <w:bookmarkStart w:id="119" w:name="_Toc68388059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32</w:t>
      </w:r>
      <w:r w:rsidRPr="00F04951">
        <w:rPr>
          <w:rFonts w:ascii="Open Sans" w:hAnsi="Open Sans" w:cs="Open Sans"/>
        </w:rPr>
        <w:t>.º | Não Outorga do Contrato</w:t>
      </w:r>
      <w:bookmarkEnd w:id="118"/>
      <w:bookmarkEnd w:id="119"/>
      <w:r w:rsidRPr="00F04951">
        <w:rPr>
          <w:rFonts w:ascii="Open Sans" w:hAnsi="Open Sans" w:cs="Open Sans"/>
        </w:rPr>
        <w:t xml:space="preserve"> </w:t>
      </w:r>
    </w:p>
    <w:p w14:paraId="1DAC8A79" w14:textId="77777777" w:rsidR="00211A67" w:rsidRPr="00F04951" w:rsidRDefault="00211A67" w:rsidP="00211A67">
      <w:pPr>
        <w:pStyle w:val="04Numerado1"/>
        <w:numPr>
          <w:ilvl w:val="0"/>
          <w:numId w:val="44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 adjudicação caduca se, por facto que lhe seja imputável, o adjudicatário selecionado não comparecer no dia, hora e local fixados para a outorga do contrato, bem como, no caso de agrupamento, se os seus membros não se tiverem associado, nos termos previstos no n.º 4 do artigo 54.º do CCP. </w:t>
      </w:r>
    </w:p>
    <w:p w14:paraId="1DAC8A7A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Nos casos previstos no número anterior, será adjudicada a proposta ordenada em lugar subsequente ao do último prestador selecionado.</w:t>
      </w:r>
    </w:p>
    <w:p w14:paraId="1DAC8A7B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 caso previsto no n.º 1, poderá ser instaurado ao concorrente selecionado um processo de contraordenação, nos termos consignados nos artigos 455.º e seguintes do CCP.</w:t>
      </w:r>
    </w:p>
    <w:p w14:paraId="1DAC8A7C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20" w:name="_Toc33016122"/>
      <w:bookmarkStart w:id="121" w:name="_Toc68388060"/>
      <w:r w:rsidRPr="00F04951">
        <w:rPr>
          <w:rFonts w:ascii="Open Sans" w:hAnsi="Open Sans" w:cs="Open Sans"/>
        </w:rPr>
        <w:t>CAPÍTULO VI – DISPOSIÇÕES GENÉRICAS</w:t>
      </w:r>
      <w:bookmarkEnd w:id="120"/>
      <w:bookmarkEnd w:id="121"/>
    </w:p>
    <w:p w14:paraId="1DAC8A7D" w14:textId="2D9532B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2" w:name="_Toc33016123"/>
      <w:bookmarkStart w:id="123" w:name="_Toc68388061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33</w:t>
      </w:r>
      <w:r w:rsidRPr="00F04951">
        <w:rPr>
          <w:rFonts w:ascii="Open Sans" w:hAnsi="Open Sans" w:cs="Open Sans"/>
        </w:rPr>
        <w:t>.º | Possibilidade de adoção de Ajuste Direto ou Consulta Prévia</w:t>
      </w:r>
      <w:bookmarkEnd w:id="122"/>
      <w:bookmarkEnd w:id="123"/>
    </w:p>
    <w:p w14:paraId="1DAC8A7E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existe a possibilidade de adoção de ajuste direto, nos termos dos artigos 25.º e 27.º do CCP, ou da consulta prévia, nos termos do artigo 27.º-A do CCP, para a repetição de fornecimentos similares aos do objeto do presente contrato.</w:t>
      </w:r>
    </w:p>
    <w:p w14:paraId="1DAC8A7F" w14:textId="5247520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4" w:name="_Toc33016124"/>
      <w:bookmarkStart w:id="125" w:name="_Toc68388062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34</w:t>
      </w:r>
      <w:r w:rsidRPr="00F04951">
        <w:rPr>
          <w:rFonts w:ascii="Open Sans" w:hAnsi="Open Sans" w:cs="Open Sans"/>
        </w:rPr>
        <w:t>.º | Encargos do concorrente</w:t>
      </w:r>
      <w:bookmarkEnd w:id="124"/>
      <w:bookmarkEnd w:id="125"/>
    </w:p>
    <w:p w14:paraId="1DAC8A80" w14:textId="77777777" w:rsidR="00211A67" w:rsidRPr="00F04951" w:rsidRDefault="00211A67" w:rsidP="00211A67">
      <w:pPr>
        <w:pStyle w:val="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São encargos do concorrente as despesas e encargos inerentes à elaboração e apresentação da proposta, incluindo as despesas relativas à prestação da caução e pagamento de emolumentos decorrentes do processo de fiscalização prévia do Tribunal de Contas, caso aplicável.  </w:t>
      </w:r>
    </w:p>
    <w:p w14:paraId="1DAC8A81" w14:textId="3CDA38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6" w:name="_Toc33016125"/>
      <w:bookmarkStart w:id="127" w:name="_Toc68388063"/>
      <w:r w:rsidRPr="00F04951">
        <w:rPr>
          <w:rFonts w:ascii="Open Sans" w:hAnsi="Open Sans" w:cs="Open Sans"/>
        </w:rPr>
        <w:lastRenderedPageBreak/>
        <w:t xml:space="preserve">Artigo </w:t>
      </w:r>
      <w:r w:rsidR="00792A5B">
        <w:rPr>
          <w:rFonts w:ascii="Open Sans" w:hAnsi="Open Sans" w:cs="Open Sans"/>
        </w:rPr>
        <w:t>35</w:t>
      </w:r>
      <w:r w:rsidRPr="00F04951">
        <w:rPr>
          <w:rFonts w:ascii="Open Sans" w:hAnsi="Open Sans" w:cs="Open Sans"/>
        </w:rPr>
        <w:t>.º | Consulta Preliminar</w:t>
      </w:r>
      <w:bookmarkEnd w:id="126"/>
      <w:bookmarkEnd w:id="127"/>
    </w:p>
    <w:p w14:paraId="0DA17653" w14:textId="77777777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453D33">
        <w:rPr>
          <w:rFonts w:ascii="Open Sans" w:hAnsi="Open Sans" w:cs="Open Sans"/>
          <w:shd w:val="clear" w:color="auto" w:fill="FFFFFF" w:themeFill="background1"/>
        </w:rPr>
        <w:t xml:space="preserve">Este </w:t>
      </w:r>
      <w:r w:rsidRPr="00E86500">
        <w:rPr>
          <w:rFonts w:ascii="Open Sans" w:hAnsi="Open Sans" w:cs="Open Sans"/>
          <w:shd w:val="clear" w:color="auto" w:fill="FFFFFF" w:themeFill="background1"/>
        </w:rPr>
        <w:t>procedimento foi precedido de consulta</w:t>
      </w:r>
      <w:r w:rsidRPr="00E86500">
        <w:rPr>
          <w:rFonts w:ascii="Open Sans" w:hAnsi="Open Sans" w:cs="Open Sans"/>
        </w:rPr>
        <w:t xml:space="preserve"> preliminar ao mercado, nos termos do artigo 35.º-A do CCP.</w:t>
      </w:r>
    </w:p>
    <w:p w14:paraId="0644FBF0" w14:textId="437F3788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E86500">
        <w:rPr>
          <w:rFonts w:ascii="Open Sans" w:hAnsi="Open Sans" w:cs="Open Sans"/>
          <w:shd w:val="clear" w:color="auto" w:fill="FFFFFF" w:themeFill="background1"/>
        </w:rPr>
        <w:t>A</w:t>
      </w:r>
      <w:r w:rsidRPr="00E86500">
        <w:rPr>
          <w:rFonts w:ascii="Open Sans" w:hAnsi="Open Sans" w:cs="Open Sans"/>
        </w:rPr>
        <w:t xml:space="preserve"> informação da(s) consulta(s) preliminares será disponibilizada, mediante solicitação, aos interessados, após o termo do prazo para a apresentação de propostas, salvaguardando-se a informação com natureza confidencial.</w:t>
      </w:r>
    </w:p>
    <w:p w14:paraId="23C6E1E3" w14:textId="17CC5356" w:rsidR="002064A4" w:rsidRPr="00E86500" w:rsidRDefault="00211A67" w:rsidP="00E86500">
      <w:pPr>
        <w:pStyle w:val="03Artigo"/>
        <w:rPr>
          <w:rFonts w:ascii="Open Sans" w:hAnsi="Open Sans" w:cs="Open Sans"/>
        </w:rPr>
      </w:pPr>
      <w:bookmarkStart w:id="128" w:name="_Toc33016126"/>
      <w:bookmarkStart w:id="129" w:name="_Toc68388064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36</w:t>
      </w:r>
      <w:r w:rsidRPr="00F04951">
        <w:rPr>
          <w:rFonts w:ascii="Open Sans" w:hAnsi="Open Sans" w:cs="Open Sans"/>
        </w:rPr>
        <w:t>.º | Proteção de dados</w:t>
      </w:r>
      <w:bookmarkEnd w:id="128"/>
      <w:bookmarkEnd w:id="129"/>
    </w:p>
    <w:p w14:paraId="190486FD" w14:textId="6B6A9B24" w:rsidR="002064A4" w:rsidRPr="00E86500" w:rsidRDefault="002064A4" w:rsidP="00E86500">
      <w:pPr>
        <w:pStyle w:val="04Numerado1"/>
        <w:numPr>
          <w:ilvl w:val="0"/>
          <w:numId w:val="53"/>
        </w:numPr>
        <w:rPr>
          <w:rFonts w:ascii="Open Sans" w:hAnsi="Open Sans"/>
          <w:shd w:val="clear" w:color="auto" w:fill="FFFFFF" w:themeFill="background1"/>
        </w:rPr>
      </w:pPr>
      <w:r w:rsidRPr="00E86500">
        <w:rPr>
          <w:rFonts w:ascii="Open Sans" w:hAnsi="Open Sans"/>
          <w:shd w:val="clear" w:color="auto" w:fill="FFFFFF" w:themeFill="background1"/>
        </w:rPr>
        <w:t>Os dados pessoais a que os concorrentes tenham acesso ao abrigo do presente procedimento deverão ser tratados na estrita observância e nos termos do Regulamento Geral de Proteção de Dados.</w:t>
      </w:r>
    </w:p>
    <w:p w14:paraId="1DAC8A86" w14:textId="5DBB50B4" w:rsidR="00211A67" w:rsidRPr="00F04951" w:rsidRDefault="002064A4" w:rsidP="002064A4">
      <w:pPr>
        <w:pStyle w:val="Numerado1"/>
        <w:numPr>
          <w:ilvl w:val="0"/>
          <w:numId w:val="5"/>
        </w:numPr>
        <w:rPr>
          <w:rFonts w:ascii="Open Sans" w:hAnsi="Open Sans"/>
          <w:shd w:val="clear" w:color="auto" w:fill="FFFFFF" w:themeFill="background1"/>
        </w:rPr>
      </w:pPr>
      <w:r w:rsidRPr="00E84C07">
        <w:rPr>
          <w:rFonts w:ascii="Open Sans" w:hAnsi="Open Sans"/>
          <w:shd w:val="clear" w:color="auto" w:fill="FFFFFF" w:themeFill="background1"/>
        </w:rPr>
        <w:t>Os concorrentes comprometem-se a não copiar, reproduzir, adaptar, difundir, transmitir ou divulgar quaisquer informações ou dados referentes a terceiros que tenham tido conhecimento por força do presente procedimento</w:t>
      </w:r>
      <w:r w:rsidRPr="00BF3D21">
        <w:rPr>
          <w:rFonts w:ascii="Open Sans" w:hAnsi="Open Sans"/>
          <w:shd w:val="clear" w:color="auto" w:fill="FFFFFF" w:themeFill="background1"/>
        </w:rPr>
        <w:t>.</w:t>
      </w:r>
      <w:r w:rsidR="00211A67" w:rsidRPr="00F04951">
        <w:rPr>
          <w:rFonts w:ascii="Open Sans" w:hAnsi="Open Sans"/>
          <w:shd w:val="clear" w:color="auto" w:fill="FFFFFF" w:themeFill="background1"/>
        </w:rPr>
        <w:t xml:space="preserve"> </w:t>
      </w:r>
    </w:p>
    <w:p w14:paraId="1DAC8A87" w14:textId="4348863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0" w:name="_Toc33016127"/>
      <w:bookmarkStart w:id="131" w:name="_Toc68388065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37</w:t>
      </w:r>
      <w:r w:rsidRPr="00F04951">
        <w:rPr>
          <w:rFonts w:ascii="Open Sans" w:hAnsi="Open Sans" w:cs="Open Sans"/>
        </w:rPr>
        <w:t>.º | Legislação aplicável</w:t>
      </w:r>
      <w:bookmarkEnd w:id="130"/>
      <w:bookmarkEnd w:id="131"/>
    </w:p>
    <w:p w14:paraId="1DAC8A88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Em tudo quanto for omisso no presente convite, observar-se-á o disposto no CCP, na sua atual redação, e restante legislação aplicável.</w:t>
      </w:r>
    </w:p>
    <w:p w14:paraId="1DAC8A89" w14:textId="77777777" w:rsidR="00211A67" w:rsidRPr="00F04951" w:rsidRDefault="00211A67" w:rsidP="00211A67">
      <w:pPr>
        <w:tabs>
          <w:tab w:val="num" w:pos="1080"/>
          <w:tab w:val="num" w:pos="1506"/>
        </w:tabs>
        <w:suppressAutoHyphens/>
        <w:overflowPunct/>
        <w:autoSpaceDE/>
        <w:autoSpaceDN/>
        <w:adjustRightInd/>
        <w:spacing w:after="120" w:line="276" w:lineRule="auto"/>
        <w:ind w:left="567" w:hanging="567"/>
        <w:jc w:val="both"/>
        <w:textAlignment w:val="auto"/>
        <w:rPr>
          <w:rFonts w:ascii="Open Sans" w:hAnsi="Open Sans" w:cs="Open Sans"/>
        </w:rPr>
      </w:pPr>
    </w:p>
    <w:p w14:paraId="1DAC8A8A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8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32" w:name="_Toc207522957"/>
      <w:bookmarkStart w:id="133" w:name="_Toc525031941"/>
      <w:bookmarkStart w:id="134" w:name="_Toc33016128"/>
      <w:bookmarkStart w:id="135" w:name="_Toc68388066"/>
      <w:r w:rsidRPr="00F04951">
        <w:rPr>
          <w:rFonts w:ascii="Open Sans" w:hAnsi="Open Sans" w:cs="Open Sans"/>
        </w:rPr>
        <w:lastRenderedPageBreak/>
        <w:t>ANEXO</w:t>
      </w:r>
      <w:r w:rsidRPr="00F04951">
        <w:rPr>
          <w:rFonts w:ascii="Open Sans" w:hAnsi="Open Sans" w:cs="Open Sans"/>
          <w:szCs w:val="22"/>
        </w:rPr>
        <w:t xml:space="preserve"> </w:t>
      </w:r>
      <w:bookmarkEnd w:id="132"/>
      <w:r w:rsidRPr="00F04951">
        <w:rPr>
          <w:rFonts w:ascii="Open Sans" w:hAnsi="Open Sans" w:cs="Open Sans"/>
          <w:szCs w:val="22"/>
        </w:rPr>
        <w:t>A</w:t>
      </w:r>
      <w:bookmarkEnd w:id="133"/>
      <w:r w:rsidRPr="00F04951">
        <w:rPr>
          <w:rFonts w:ascii="Open Sans" w:hAnsi="Open Sans" w:cs="Open Sans"/>
          <w:szCs w:val="22"/>
        </w:rPr>
        <w:t xml:space="preserve"> - </w:t>
      </w:r>
      <w:r w:rsidRPr="00F04951">
        <w:rPr>
          <w:rFonts w:ascii="Open Sans" w:hAnsi="Open Sans" w:cs="Open Sans"/>
        </w:rPr>
        <w:t>Modelo de Declaração (anexo I ao CCP)</w:t>
      </w:r>
      <w:bookmarkEnd w:id="134"/>
      <w:bookmarkEnd w:id="135"/>
    </w:p>
    <w:p w14:paraId="1DAC8A8D" w14:textId="77777777" w:rsidR="00211A67" w:rsidRPr="00F04951" w:rsidRDefault="00211A67" w:rsidP="00373C5E">
      <w:pPr>
        <w:pStyle w:val="04Numerado1"/>
        <w:numPr>
          <w:ilvl w:val="0"/>
          <w:numId w:val="46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1"/>
      </w:r>
      <w:r w:rsidRPr="00F04951">
        <w:rPr>
          <w:rFonts w:ascii="Open Sans" w:hAnsi="Open Sans"/>
        </w:rPr>
        <w:t>… (firma, número de identificação fiscal e sede ou, no caso de agrupamento de concorrente, firmas, números de identificação fiscal e sedes), tendo tomado inteiro e perfeito conhecimento do caderno de encargos relativo à execução do contrato a celebrar na sequência do procedimento de … (designação ou referência do procedimento em causa e, se for o caso, do caderno de encargos do acordo-quadro aplicável ao procedimento),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2"/>
      </w:r>
      <w:r w:rsidRPr="00F04951">
        <w:rPr>
          <w:rFonts w:ascii="Open Sans" w:hAnsi="Open Sans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1DAC8A8E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também que executa o referido contrato nos termos previstos nos seguintes documentos, que junta em anexo</w:t>
      </w:r>
      <w:r w:rsidRPr="00F04951">
        <w:rPr>
          <w:rStyle w:val="Refdenotaderodap"/>
          <w:rFonts w:ascii="Open Sans" w:hAnsi="Open Sans" w:cs="Open Sans"/>
        </w:rPr>
        <w:footnoteReference w:id="3"/>
      </w:r>
      <w:r w:rsidRPr="00F04951">
        <w:rPr>
          <w:rFonts w:ascii="Open Sans" w:hAnsi="Open Sans"/>
        </w:rPr>
        <w:t>:</w:t>
      </w:r>
    </w:p>
    <w:p w14:paraId="1DAC8A8F" w14:textId="77777777" w:rsidR="00211A67" w:rsidRPr="00F04951" w:rsidRDefault="00211A67" w:rsidP="00211A67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t>…</w:t>
      </w:r>
    </w:p>
    <w:p w14:paraId="1DAC8A90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ainda que renuncia a foro especial e se submete, em tudo o que respeitar à execução do referido contrato, ao disposto na legislação portuguesa aplicável.</w:t>
      </w:r>
    </w:p>
    <w:p w14:paraId="1DAC8A91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Mais declara, sob compromisso de honra, que não se encontra em nenhuma das situações previstas no nº 1 do artigo 55.º do Código dos Contratos Públicos.</w:t>
      </w:r>
    </w:p>
    <w:p w14:paraId="1DAC8A92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3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 entidade adjudicante o solicitar, o concorrente obriga-se, nos termos do disposto no artigo 81.º do Código dos Contratos Públicos, a apresentar os documentos comprovativos de que não se encontra nas situações previstas nas alíneas b), d), e) e i) do nº 1 do artigo 55.º do referido Código.</w:t>
      </w:r>
    </w:p>
    <w:p w14:paraId="3627207B" w14:textId="77777777" w:rsidR="00E802E6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6" w14:textId="40D13D3D" w:rsidR="00211A67" w:rsidRPr="00E802E6" w:rsidRDefault="00211A67" w:rsidP="00373C5E">
      <w:pPr>
        <w:pStyle w:val="04Numerado1"/>
        <w:rPr>
          <w:rFonts w:ascii="Open Sans" w:hAnsi="Open Sans"/>
          <w:sz w:val="18"/>
          <w:szCs w:val="18"/>
        </w:rPr>
      </w:pPr>
      <w:r w:rsidRPr="00E802E6">
        <w:rPr>
          <w:rFonts w:ascii="Open Sans" w:hAnsi="Open Sans"/>
          <w:sz w:val="18"/>
          <w:szCs w:val="18"/>
        </w:rPr>
        <w:t>… (local), … (data), … [assinatura</w:t>
      </w:r>
      <w:r w:rsidRPr="00E802E6">
        <w:rPr>
          <w:rStyle w:val="Refdenotaderodap"/>
          <w:rFonts w:ascii="Open Sans" w:hAnsi="Open Sans" w:cs="Open Sans"/>
          <w:sz w:val="18"/>
          <w:szCs w:val="18"/>
        </w:rPr>
        <w:footnoteReference w:id="4"/>
      </w:r>
      <w:r w:rsidRPr="00E802E6">
        <w:rPr>
          <w:rFonts w:ascii="Open Sans" w:hAnsi="Open Sans"/>
          <w:sz w:val="18"/>
          <w:szCs w:val="18"/>
        </w:rPr>
        <w:t>].</w:t>
      </w:r>
    </w:p>
    <w:p w14:paraId="1DAC8A98" w14:textId="063B10F9" w:rsidR="00211A67" w:rsidRPr="00E802E6" w:rsidRDefault="00211A67" w:rsidP="00E802E6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  <w:bookmarkStart w:id="136" w:name="_Toc207522959"/>
      <w:bookmarkStart w:id="137" w:name="_Toc525031942"/>
      <w:bookmarkStart w:id="138" w:name="_Toc33016129"/>
      <w:bookmarkStart w:id="139" w:name="_Toc68388067"/>
      <w:r w:rsidRPr="00F04951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</w:rPr>
        <w:t xml:space="preserve"> </w:t>
      </w:r>
      <w:bookmarkEnd w:id="136"/>
      <w:r w:rsidRPr="00E802E6">
        <w:rPr>
          <w:rFonts w:ascii="Open Sans" w:hAnsi="Open Sans" w:cs="Open Sans"/>
        </w:rPr>
        <w:t>B</w:t>
      </w:r>
      <w:bookmarkEnd w:id="137"/>
      <w:r w:rsidRPr="00E802E6">
        <w:rPr>
          <w:rFonts w:ascii="Open Sans" w:hAnsi="Open Sans" w:cs="Open Sans"/>
        </w:rPr>
        <w:t xml:space="preserve"> - </w:t>
      </w:r>
      <w:r w:rsidRPr="00F04951">
        <w:rPr>
          <w:rFonts w:ascii="Open Sans" w:hAnsi="Open Sans" w:cs="Open Sans"/>
        </w:rPr>
        <w:t>Modelo</w:t>
      </w:r>
      <w:r w:rsidRPr="00E802E6">
        <w:rPr>
          <w:rFonts w:ascii="Open Sans" w:hAnsi="Open Sans" w:cs="Open Sans"/>
        </w:rPr>
        <w:t xml:space="preserve"> de </w:t>
      </w:r>
      <w:r w:rsidRPr="00F04951">
        <w:rPr>
          <w:rFonts w:ascii="Open Sans" w:hAnsi="Open Sans" w:cs="Open Sans"/>
        </w:rPr>
        <w:t>Declaração</w:t>
      </w:r>
      <w:r w:rsidRPr="00E802E6">
        <w:rPr>
          <w:rFonts w:ascii="Open Sans" w:hAnsi="Open Sans" w:cs="Open Sans"/>
        </w:rPr>
        <w:t xml:space="preserve"> (Anexo II ao CCP)</w:t>
      </w:r>
      <w:bookmarkEnd w:id="138"/>
      <w:bookmarkEnd w:id="139"/>
    </w:p>
    <w:p w14:paraId="1DAC8A99" w14:textId="77777777" w:rsidR="00211A67" w:rsidRPr="00F04951" w:rsidRDefault="00211A67" w:rsidP="00211A67">
      <w:pPr>
        <w:spacing w:after="120" w:line="276" w:lineRule="auto"/>
        <w:contextualSpacing/>
        <w:rPr>
          <w:rFonts w:ascii="Open Sans" w:hAnsi="Open Sans" w:cs="Open Sans"/>
        </w:rPr>
      </w:pPr>
    </w:p>
    <w:p w14:paraId="1DAC8A9A" w14:textId="77777777" w:rsidR="00211A67" w:rsidRPr="00F04951" w:rsidRDefault="00211A67" w:rsidP="00373C5E">
      <w:pPr>
        <w:pStyle w:val="04Numerado1"/>
        <w:numPr>
          <w:ilvl w:val="0"/>
          <w:numId w:val="47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5"/>
      </w:r>
      <w:r w:rsidRPr="00F04951">
        <w:rPr>
          <w:rFonts w:ascii="Open Sans" w:hAnsi="Open Sans"/>
        </w:rPr>
        <w:t>… (firma, número de identificação fiscal e sede ou, no caso de agrupamento concorrente, firmas, números de identificação fiscal e sedes), adjudicatário(a) no procedimento de… (designação ou referência ao procedimento em causa),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6"/>
      </w:r>
      <w:r w:rsidRPr="00F04951">
        <w:rPr>
          <w:rFonts w:ascii="Open Sans" w:hAnsi="Open Sans"/>
        </w:rPr>
        <w:t xml:space="preserve"> não se encontra em nenhuma das situações previstas no nº 1 do artigo 55.º do Código dos Contratos Públicos.</w:t>
      </w:r>
    </w:p>
    <w:p w14:paraId="1DAC8A9B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junta em anexo [ou indica…. como endereço do sítio da Internet onde podem ser consultados</w:t>
      </w:r>
      <w:r w:rsidRPr="00F04951">
        <w:rPr>
          <w:rStyle w:val="Refdenotaderodap"/>
          <w:rFonts w:ascii="Open Sans" w:hAnsi="Open Sans" w:cs="Open Sans"/>
        </w:rPr>
        <w:footnoteReference w:id="7"/>
      </w:r>
      <w:r w:rsidRPr="00F04951">
        <w:rPr>
          <w:rFonts w:ascii="Open Sans" w:hAnsi="Open Sans"/>
        </w:rPr>
        <w:t>] os documentos comprovativos de que a sua representada</w:t>
      </w:r>
      <w:r w:rsidRPr="00F04951">
        <w:rPr>
          <w:rStyle w:val="Refdenotaderodap"/>
          <w:rFonts w:ascii="Open Sans" w:hAnsi="Open Sans" w:cs="Open Sans"/>
        </w:rPr>
        <w:footnoteReference w:id="8"/>
      </w:r>
      <w:r w:rsidRPr="00F04951">
        <w:rPr>
          <w:rFonts w:ascii="Open Sans" w:hAnsi="Open Sans"/>
        </w:rPr>
        <w:t xml:space="preserve"> não se encontra nas situações previstas nas alíneas b), d), e) e i) do nº 1 do artigo 55.º do Código dos Contratos Públicos.</w:t>
      </w:r>
    </w:p>
    <w:p w14:paraId="1DAC8A9C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D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F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… (local),… (data), … [assinatura</w:t>
      </w:r>
      <w:r w:rsidRPr="00F04951">
        <w:rPr>
          <w:rStyle w:val="Refdenotaderodap"/>
          <w:rFonts w:ascii="Open Sans" w:hAnsi="Open Sans" w:cs="Open Sans"/>
        </w:rPr>
        <w:footnoteReference w:id="9"/>
      </w:r>
      <w:r w:rsidRPr="00F04951">
        <w:rPr>
          <w:rFonts w:ascii="Open Sans" w:hAnsi="Open Sans"/>
        </w:rPr>
        <w:t>].</w:t>
      </w:r>
    </w:p>
    <w:p w14:paraId="1DAC8AA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2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3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4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5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6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7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8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9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A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B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C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D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AE" w14:textId="77777777" w:rsidR="00211A67" w:rsidRPr="00E802E6" w:rsidRDefault="00211A67" w:rsidP="00373C5E">
      <w:pPr>
        <w:pStyle w:val="Cabealho1"/>
        <w:rPr>
          <w:rFonts w:ascii="Open Sans" w:hAnsi="Open Sans" w:cs="Open Sans"/>
        </w:rPr>
      </w:pPr>
      <w:bookmarkStart w:id="140" w:name="_Toc525031943"/>
      <w:bookmarkStart w:id="141" w:name="_Toc33016130"/>
      <w:bookmarkStart w:id="142" w:name="_Toc68388068"/>
      <w:r w:rsidRPr="00E802E6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  <w:sz w:val="22"/>
          <w:szCs w:val="22"/>
        </w:rPr>
        <w:t xml:space="preserve"> C</w:t>
      </w:r>
      <w:bookmarkEnd w:id="140"/>
      <w:r w:rsidRPr="00E802E6">
        <w:rPr>
          <w:rFonts w:ascii="Open Sans" w:hAnsi="Open Sans" w:cs="Open Sans"/>
          <w:sz w:val="22"/>
          <w:szCs w:val="22"/>
        </w:rPr>
        <w:t xml:space="preserve"> - </w:t>
      </w:r>
      <w:r w:rsidRPr="00E802E6">
        <w:rPr>
          <w:rFonts w:ascii="Open Sans" w:eastAsia="Times New Roman" w:hAnsi="Open Sans" w:cs="Open Sans"/>
        </w:rPr>
        <w:t>Minuta da Proposta</w:t>
      </w:r>
      <w:bookmarkEnd w:id="141"/>
      <w:bookmarkEnd w:id="142"/>
    </w:p>
    <w:p w14:paraId="1DAC8AAF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B0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__________________________________________(denominação social da empresa concorrente), depois de ter tomado conhecimento do objeto do procedimento para _________________________________ (designação do procedimento), a que se refere o convite datado de __________(data), obriga-se a executar o fornecimento, de acordo com as condições estabelecidas no Convite, Caderno de Encargos e demais documentação, pelo preço total de ____________________ (em algarismos e por extenso), constituindo este elemento o atributo da sua proposta.</w:t>
      </w:r>
    </w:p>
    <w:p w14:paraId="1DAC8AB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2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À quantia mencionada acrescerá o IVA à taxa legal em vigor, na percentagem de ____%, no montante de______.</w:t>
      </w:r>
    </w:p>
    <w:p w14:paraId="1DAC8AB3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4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do fornecimento: __________</w:t>
      </w:r>
    </w:p>
    <w:p w14:paraId="1DAC8AB5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6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de manutenção da proposta: 66 dias úteis</w:t>
      </w:r>
    </w:p>
    <w:p w14:paraId="1DAC8AB7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8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Mais declara que renuncia a foro especial e se submete, em tudo o que respeitar à execução do seu contrato, ao qual se achar prescrito na Legislação Portuguesa em vigor.</w:t>
      </w:r>
    </w:p>
    <w:p w14:paraId="1DAC8AB9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A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B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C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D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Data </w:t>
      </w:r>
    </w:p>
    <w:p w14:paraId="1DAC8AB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F" w14:textId="77777777" w:rsidR="00211A67" w:rsidRPr="00F04951" w:rsidRDefault="00211A67" w:rsidP="00373C5E">
      <w:pPr>
        <w:pStyle w:val="06Textonaonumerado"/>
        <w:rPr>
          <w:rFonts w:ascii="Open Sans" w:hAnsi="Open Sans"/>
          <w:b/>
        </w:rPr>
      </w:pPr>
      <w:r w:rsidRPr="00F04951">
        <w:rPr>
          <w:rFonts w:ascii="Open Sans" w:hAnsi="Open Sans"/>
        </w:rPr>
        <w:t xml:space="preserve">Assinatura </w:t>
      </w:r>
    </w:p>
    <w:p w14:paraId="1DAC8AC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C1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  <w:b/>
        </w:rPr>
      </w:pPr>
    </w:p>
    <w:sectPr w:rsidR="00211A67" w:rsidRPr="00F04951" w:rsidSect="00230FFE">
      <w:headerReference w:type="default" r:id="rId19"/>
      <w:pgSz w:w="11906" w:h="16838"/>
      <w:pgMar w:top="1418" w:right="1133" w:bottom="1135" w:left="1560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2AC64" w14:textId="77777777" w:rsidR="006E0791" w:rsidRDefault="006E0791">
      <w:r>
        <w:separator/>
      </w:r>
    </w:p>
  </w:endnote>
  <w:endnote w:type="continuationSeparator" w:id="0">
    <w:p w14:paraId="0AC3D980" w14:textId="77777777" w:rsidR="006E0791" w:rsidRDefault="006E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altName w:val="Eras Medium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oseAntique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chnic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emorand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409383459"/>
      <w:docPartObj>
        <w:docPartGallery w:val="Page Numbers (Bottom of Page)"/>
        <w:docPartUnique/>
      </w:docPartObj>
    </w:sdtPr>
    <w:sdtEndPr>
      <w:rPr>
        <w:sz w:val="14"/>
        <w:szCs w:val="18"/>
      </w:rPr>
    </w:sdtEndPr>
    <w:sdtContent>
      <w:sdt>
        <w:sdtPr>
          <w:rPr>
            <w:color w:val="595959" w:themeColor="text1" w:themeTint="A6"/>
            <w:sz w:val="14"/>
            <w:szCs w:val="18"/>
          </w:rPr>
          <w:id w:val="1769503671"/>
          <w:docPartObj>
            <w:docPartGallery w:val="Page Numbers (Top of Page)"/>
            <w:docPartUnique/>
          </w:docPartObj>
        </w:sdtPr>
        <w:sdtEndPr/>
        <w:sdtContent>
          <w:p w14:paraId="1DAC8AD0" w14:textId="1014EEAF" w:rsidR="006E0791" w:rsidRPr="00307E88" w:rsidRDefault="006E0791" w:rsidP="00335924">
            <w:pPr>
              <w:pBdr>
                <w:top w:val="single" w:sz="4" w:space="1" w:color="auto"/>
              </w:pBdr>
              <w:spacing w:line="276" w:lineRule="auto"/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</w:pPr>
            <w:r w:rsidRPr="00307E88">
              <w:rPr>
                <w:rFonts w:cs="Tahoma"/>
                <w:caps/>
                <w:color w:val="595959" w:themeColor="text1" w:themeTint="A6"/>
                <w:sz w:val="12"/>
                <w:szCs w:val="14"/>
              </w:rPr>
              <w:t>Ministério da Defesa Nacional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| MARINHA | </w:t>
            </w:r>
            <w:r w:rsidR="004F4EB8">
              <w:rPr>
                <w:rFonts w:cs="Tahoma"/>
                <w:color w:val="595959" w:themeColor="text1" w:themeTint="A6"/>
                <w:sz w:val="12"/>
                <w:szCs w:val="14"/>
              </w:rPr>
              <w:t>Messe de Cascais</w:t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 xml:space="preserve"> </w:t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  <w:t xml:space="preserve">                                      </w:t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Página 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begin"/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instrText>PAGE  \* Arabic  \* MERGEFORMAT</w:instrTex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separate"/>
            </w:r>
            <w:r w:rsidR="00F8559C">
              <w:rPr>
                <w:rFonts w:ascii="Open Sans" w:hAnsi="Open Sans" w:cs="Open Sans"/>
                <w:bCs/>
                <w:noProof/>
                <w:color w:val="595959" w:themeColor="text1" w:themeTint="A6"/>
                <w:sz w:val="12"/>
                <w:szCs w:val="18"/>
              </w:rPr>
              <w:t>12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end"/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 de 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begin"/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instrText xml:space="preserve"> NUMPAGES   \* MERGEFORMAT </w:instrTex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separate"/>
            </w:r>
            <w:r w:rsidR="00F8559C">
              <w:rPr>
                <w:rFonts w:ascii="Open Sans" w:hAnsi="Open Sans" w:cs="Open Sans"/>
                <w:noProof/>
                <w:color w:val="595959" w:themeColor="text1" w:themeTint="A6"/>
                <w:sz w:val="12"/>
                <w:szCs w:val="18"/>
              </w:rPr>
              <w:t>12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end"/>
            </w:r>
          </w:p>
          <w:p w14:paraId="1DAC8AD1" w14:textId="186CE5B3" w:rsidR="006E0791" w:rsidRPr="00307E88" w:rsidRDefault="003F1AD7" w:rsidP="0045137A">
            <w:pPr>
              <w:tabs>
                <w:tab w:val="right" w:pos="8788"/>
              </w:tabs>
              <w:spacing w:line="276" w:lineRule="auto"/>
              <w:rPr>
                <w:rFonts w:cs="Tahoma"/>
                <w:color w:val="595959" w:themeColor="text1" w:themeTint="A6"/>
                <w:sz w:val="12"/>
                <w:szCs w:val="14"/>
              </w:rPr>
            </w:pPr>
            <w:r>
              <w:rPr>
                <w:rFonts w:cs="Tahoma"/>
                <w:color w:val="595959" w:themeColor="text1" w:themeTint="A6"/>
                <w:sz w:val="12"/>
                <w:szCs w:val="14"/>
              </w:rPr>
              <w:t>Rua Fernandes Tomás nº 4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="006E0791"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| 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>2750-342 Cascais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ab/>
            </w:r>
          </w:p>
          <w:p w14:paraId="1DAC8AD2" w14:textId="55762965" w:rsidR="006E0791" w:rsidRPr="00335924" w:rsidRDefault="006E0791" w:rsidP="00307E88">
            <w:pPr>
              <w:pStyle w:val="Cabealho"/>
              <w:tabs>
                <w:tab w:val="clear" w:pos="4252"/>
                <w:tab w:val="clear" w:pos="8504"/>
                <w:tab w:val="left" w:pos="3143"/>
              </w:tabs>
              <w:spacing w:line="276" w:lineRule="auto"/>
              <w:rPr>
                <w:color w:val="595959" w:themeColor="text1" w:themeTint="A6"/>
                <w:sz w:val="12"/>
                <w:szCs w:val="18"/>
              </w:rPr>
            </w:pP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E-mail: 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messecascais.saf@marinha.pt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>- Telefone: (351)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210970204</w:t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  <w:t xml:space="preserve">                                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3EEB8" w14:textId="77777777" w:rsidR="006E0791" w:rsidRDefault="006E0791">
      <w:r>
        <w:separator/>
      </w:r>
    </w:p>
  </w:footnote>
  <w:footnote w:type="continuationSeparator" w:id="0">
    <w:p w14:paraId="00FE33CB" w14:textId="77777777" w:rsidR="006E0791" w:rsidRDefault="006E0791">
      <w:r>
        <w:continuationSeparator/>
      </w:r>
    </w:p>
  </w:footnote>
  <w:footnote w:id="1">
    <w:p w14:paraId="1DAC8ADA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2">
    <w:p w14:paraId="1DAC8ADB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“sua representada”</w:t>
      </w:r>
    </w:p>
  </w:footnote>
  <w:footnote w:id="3">
    <w:p w14:paraId="1DAC8ADC" w14:textId="77777777" w:rsidR="006E0791" w:rsidRPr="00B70739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Enumerar todos os documentos que constituem a proposta, para além desta declaração, nos termos do disposto nas alíneas b), c) e d) do nº 1 e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</w:rPr>
        <w:t xml:space="preserve"> 2 e 3 do artigo 57.º</w:t>
      </w:r>
    </w:p>
  </w:footnote>
  <w:footnote w:id="4">
    <w:p w14:paraId="1DAC8ADD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 xml:space="preserve">os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  <w:footnote w:id="5">
    <w:p w14:paraId="1DAC8ADE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6">
    <w:p w14:paraId="1DAC8ADF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7">
    <w:p w14:paraId="1DAC8AE0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Acrescentar as informações necessárias à consulta, se for o caso</w:t>
      </w:r>
    </w:p>
  </w:footnote>
  <w:footnote w:id="8">
    <w:p w14:paraId="1DAC8AE1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9">
    <w:p w14:paraId="1DAC8AE2" w14:textId="77777777" w:rsidR="006E0791" w:rsidRPr="004676FA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 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  <w:vertAlign w:val="subscript"/>
        </w:rPr>
        <w:t xml:space="preserve">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CD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 w:rsidRPr="00A70140">
      <w:rPr>
        <w:noProof/>
        <w:color w:val="595959" w:themeColor="text1" w:themeTint="A6"/>
        <w:sz w:val="14"/>
        <w:szCs w:val="14"/>
        <w:lang w:eastAsia="pt-PT"/>
      </w:rPr>
      <w:drawing>
        <wp:anchor distT="0" distB="0" distL="114300" distR="114300" simplePos="0" relativeHeight="251649536" behindDoc="0" locked="0" layoutInCell="1" allowOverlap="1" wp14:anchorId="1DAC8AD6" wp14:editId="1DAC8AD7">
          <wp:simplePos x="0" y="0"/>
          <wp:positionH relativeFrom="column">
            <wp:posOffset>4697730</wp:posOffset>
          </wp:positionH>
          <wp:positionV relativeFrom="paragraph">
            <wp:posOffset>-139065</wp:posOffset>
          </wp:positionV>
          <wp:extent cx="1100588" cy="422795"/>
          <wp:effectExtent l="0" t="0" r="4445" b="0"/>
          <wp:wrapNone/>
          <wp:docPr id="39" name="Imagem 39" descr="\\Da-srv-01\da\DOB\04. SAMD\01 CSAMD\99. Diversos\DA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\\Da-srv-01\da\DOB\04. SAMD\01 CSAMD\99. Diversos\DA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588" cy="42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CE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CF" w14:textId="77777777" w:rsidR="006E0791" w:rsidRPr="008B059A" w:rsidRDefault="006E0791" w:rsidP="0005608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rFonts w:ascii="Open Sans" w:hAnsi="Open Sans" w:cs="Open Sans"/>
        <w:color w:val="595959" w:themeColor="text1" w:themeTint="A6"/>
        <w:sz w:val="14"/>
        <w:szCs w:val="14"/>
      </w:rPr>
    </w:pPr>
    <w:r w:rsidRPr="008B059A">
      <w:rPr>
        <w:rFonts w:ascii="Open Sans" w:hAnsi="Open Sans" w:cs="Open Sans"/>
        <w:color w:val="595959" w:themeColor="text1" w:themeTint="A6"/>
        <w:sz w:val="14"/>
        <w:szCs w:val="14"/>
      </w:rPr>
      <w:t>Convite à Apresentação de Proposta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D3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>
      <w:rPr>
        <w:rFonts w:cs="Tahoma"/>
        <w:caps/>
        <w:noProof/>
        <w:sz w:val="14"/>
        <w:szCs w:val="14"/>
        <w:lang w:eastAsia="pt-PT"/>
      </w:rPr>
      <w:drawing>
        <wp:anchor distT="0" distB="0" distL="114300" distR="114300" simplePos="0" relativeHeight="251658752" behindDoc="0" locked="0" layoutInCell="1" allowOverlap="1" wp14:anchorId="1DAC8AD8" wp14:editId="1DAC8AD9">
          <wp:simplePos x="0" y="0"/>
          <wp:positionH relativeFrom="column">
            <wp:posOffset>5124450</wp:posOffset>
          </wp:positionH>
          <wp:positionV relativeFrom="paragraph">
            <wp:posOffset>36195</wp:posOffset>
          </wp:positionV>
          <wp:extent cx="716604" cy="229056"/>
          <wp:effectExtent l="0" t="0" r="762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dentidade_Visual_Marinha_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604" cy="229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D4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D5" w14:textId="77777777" w:rsidR="006E0791" w:rsidRPr="00A70140" w:rsidRDefault="006E0791" w:rsidP="005D1DF5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color w:val="595959" w:themeColor="text1" w:themeTint="A6"/>
        <w:sz w:val="14"/>
        <w:szCs w:val="14"/>
      </w:rPr>
    </w:pPr>
    <w:r>
      <w:rPr>
        <w:color w:val="595959" w:themeColor="text1" w:themeTint="A6"/>
        <w:sz w:val="14"/>
        <w:szCs w:val="14"/>
      </w:rPr>
      <w:t>Convite à Apresentação de Proposta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073"/>
        </w:tabs>
      </w:pPr>
      <w:rPr>
        <w:b w:val="0"/>
        <w:i w:val="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 "/>
      <w:lvlJc w:val="left"/>
      <w:pPr>
        <w:tabs>
          <w:tab w:val="num" w:pos="283"/>
        </w:tabs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2" w15:restartNumberingAfterBreak="0">
    <w:nsid w:val="06355BC4"/>
    <w:multiLevelType w:val="hybridMultilevel"/>
    <w:tmpl w:val="41304776"/>
    <w:lvl w:ilvl="0" w:tplc="BD387D30">
      <w:start w:val="1"/>
      <w:numFmt w:val="decimal"/>
      <w:pStyle w:val="04Numerado1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AA"/>
    <w:multiLevelType w:val="hybridMultilevel"/>
    <w:tmpl w:val="6C6E31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42AC"/>
    <w:multiLevelType w:val="hybridMultilevel"/>
    <w:tmpl w:val="1BBC7C84"/>
    <w:lvl w:ilvl="0" w:tplc="8C1A4124">
      <w:start w:val="1"/>
      <w:numFmt w:val="lowerLetter"/>
      <w:pStyle w:val="05Numerado2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4EDA365D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6" w15:restartNumberingAfterBreak="0">
    <w:nsid w:val="50203383"/>
    <w:multiLevelType w:val="hybridMultilevel"/>
    <w:tmpl w:val="ED16F700"/>
    <w:lvl w:ilvl="0" w:tplc="4DDEC3BC">
      <w:start w:val="4"/>
      <w:numFmt w:val="upperRoman"/>
      <w:pStyle w:val="Ttulo6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43B81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8" w15:restartNumberingAfterBreak="0">
    <w:nsid w:val="75587DA1"/>
    <w:multiLevelType w:val="multilevel"/>
    <w:tmpl w:val="003C748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ascii="Calibri" w:eastAsia="Times New Roman" w:hAnsi="Calibri" w:cs="Calibri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9" w15:restartNumberingAfterBreak="0">
    <w:nsid w:val="78774727"/>
    <w:multiLevelType w:val="hybridMultilevel"/>
    <w:tmpl w:val="548853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B37CE"/>
    <w:multiLevelType w:val="hybridMultilevel"/>
    <w:tmpl w:val="0F3AA02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0"/>
  </w:num>
  <w:num w:numId="27">
    <w:abstractNumId w:val="3"/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2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2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2"/>
    <w:lvlOverride w:ilvl="0">
      <w:startOverride w:val="1"/>
    </w:lvlOverride>
  </w:num>
  <w:num w:numId="48">
    <w:abstractNumId w:val="5"/>
  </w:num>
  <w:num w:numId="49">
    <w:abstractNumId w:val="8"/>
  </w:num>
  <w:num w:numId="50">
    <w:abstractNumId w:val="2"/>
  </w:num>
  <w:num w:numId="51">
    <w:abstractNumId w:val="7"/>
  </w:num>
  <w:num w:numId="52">
    <w:abstractNumId w:val="2"/>
  </w:num>
  <w:num w:numId="53">
    <w:abstractNumId w:val="2"/>
    <w:lvlOverride w:ilvl="0">
      <w:startOverride w:val="1"/>
    </w:lvlOverride>
  </w:num>
  <w:num w:numId="54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0"/>
  <w:doNotHyphenateCaps/>
  <w:drawingGridHorizontalSpacing w:val="100"/>
  <w:drawingGridVerticalSpacing w:val="136"/>
  <w:displayHorizontalDrawingGridEvery w:val="2"/>
  <w:displayVerticalDrawingGridEvery w:val="0"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4F"/>
    <w:rsid w:val="000014DE"/>
    <w:rsid w:val="0000439B"/>
    <w:rsid w:val="000047F1"/>
    <w:rsid w:val="0000730F"/>
    <w:rsid w:val="00007976"/>
    <w:rsid w:val="000121E7"/>
    <w:rsid w:val="000128BD"/>
    <w:rsid w:val="00013676"/>
    <w:rsid w:val="00015589"/>
    <w:rsid w:val="00015DC9"/>
    <w:rsid w:val="00017770"/>
    <w:rsid w:val="000224BB"/>
    <w:rsid w:val="00022A54"/>
    <w:rsid w:val="000236DC"/>
    <w:rsid w:val="00025F36"/>
    <w:rsid w:val="0003016C"/>
    <w:rsid w:val="00031998"/>
    <w:rsid w:val="0003260D"/>
    <w:rsid w:val="00032FE5"/>
    <w:rsid w:val="00034027"/>
    <w:rsid w:val="000350D9"/>
    <w:rsid w:val="000355F0"/>
    <w:rsid w:val="000358BF"/>
    <w:rsid w:val="00035BAD"/>
    <w:rsid w:val="00036AC5"/>
    <w:rsid w:val="000420E0"/>
    <w:rsid w:val="000424A5"/>
    <w:rsid w:val="000434BC"/>
    <w:rsid w:val="00043863"/>
    <w:rsid w:val="00044143"/>
    <w:rsid w:val="0004516F"/>
    <w:rsid w:val="0005525F"/>
    <w:rsid w:val="0005608F"/>
    <w:rsid w:val="00056439"/>
    <w:rsid w:val="00062EA7"/>
    <w:rsid w:val="00066F34"/>
    <w:rsid w:val="0007086D"/>
    <w:rsid w:val="00070C46"/>
    <w:rsid w:val="00071137"/>
    <w:rsid w:val="00071D4D"/>
    <w:rsid w:val="00072419"/>
    <w:rsid w:val="00072962"/>
    <w:rsid w:val="00076E98"/>
    <w:rsid w:val="000847B0"/>
    <w:rsid w:val="00085F39"/>
    <w:rsid w:val="0009205D"/>
    <w:rsid w:val="0009236A"/>
    <w:rsid w:val="000937A3"/>
    <w:rsid w:val="0009485F"/>
    <w:rsid w:val="000A092B"/>
    <w:rsid w:val="000A5DA0"/>
    <w:rsid w:val="000B1609"/>
    <w:rsid w:val="000B1B4F"/>
    <w:rsid w:val="000B3D2E"/>
    <w:rsid w:val="000C1389"/>
    <w:rsid w:val="000C1FF0"/>
    <w:rsid w:val="000C39F6"/>
    <w:rsid w:val="000D0826"/>
    <w:rsid w:val="000D2EAA"/>
    <w:rsid w:val="000D345D"/>
    <w:rsid w:val="000D4688"/>
    <w:rsid w:val="000D47BE"/>
    <w:rsid w:val="000D4A77"/>
    <w:rsid w:val="000D4B6F"/>
    <w:rsid w:val="000E0291"/>
    <w:rsid w:val="000E1DF9"/>
    <w:rsid w:val="000E30FF"/>
    <w:rsid w:val="000E3D13"/>
    <w:rsid w:val="000E45BA"/>
    <w:rsid w:val="000E4C31"/>
    <w:rsid w:val="000E6B80"/>
    <w:rsid w:val="000F213A"/>
    <w:rsid w:val="000F5C9B"/>
    <w:rsid w:val="001008AF"/>
    <w:rsid w:val="00105D1B"/>
    <w:rsid w:val="001124F4"/>
    <w:rsid w:val="0011313F"/>
    <w:rsid w:val="001136E8"/>
    <w:rsid w:val="0012041E"/>
    <w:rsid w:val="00120B42"/>
    <w:rsid w:val="001210D1"/>
    <w:rsid w:val="00121BAB"/>
    <w:rsid w:val="00123C9C"/>
    <w:rsid w:val="00123E9A"/>
    <w:rsid w:val="001314F6"/>
    <w:rsid w:val="00131722"/>
    <w:rsid w:val="00134438"/>
    <w:rsid w:val="00135994"/>
    <w:rsid w:val="00135D6D"/>
    <w:rsid w:val="00136EBF"/>
    <w:rsid w:val="00137298"/>
    <w:rsid w:val="0014276D"/>
    <w:rsid w:val="0014741A"/>
    <w:rsid w:val="00151082"/>
    <w:rsid w:val="00151139"/>
    <w:rsid w:val="001514DF"/>
    <w:rsid w:val="00153111"/>
    <w:rsid w:val="001535EA"/>
    <w:rsid w:val="0015498A"/>
    <w:rsid w:val="001557F7"/>
    <w:rsid w:val="00160EB0"/>
    <w:rsid w:val="00161884"/>
    <w:rsid w:val="00161B2A"/>
    <w:rsid w:val="0016316F"/>
    <w:rsid w:val="001648CC"/>
    <w:rsid w:val="00164CE6"/>
    <w:rsid w:val="00165F42"/>
    <w:rsid w:val="00172642"/>
    <w:rsid w:val="00174812"/>
    <w:rsid w:val="0018138A"/>
    <w:rsid w:val="001820E2"/>
    <w:rsid w:val="00182C27"/>
    <w:rsid w:val="00182ED3"/>
    <w:rsid w:val="001830E4"/>
    <w:rsid w:val="0018372F"/>
    <w:rsid w:val="001850C8"/>
    <w:rsid w:val="00192E2C"/>
    <w:rsid w:val="00193F43"/>
    <w:rsid w:val="00194B0F"/>
    <w:rsid w:val="00196108"/>
    <w:rsid w:val="001969AC"/>
    <w:rsid w:val="00197897"/>
    <w:rsid w:val="00197C9C"/>
    <w:rsid w:val="001A3F26"/>
    <w:rsid w:val="001A4786"/>
    <w:rsid w:val="001A48D4"/>
    <w:rsid w:val="001A57BB"/>
    <w:rsid w:val="001A58B6"/>
    <w:rsid w:val="001A5BA8"/>
    <w:rsid w:val="001A5ED6"/>
    <w:rsid w:val="001A6371"/>
    <w:rsid w:val="001A7488"/>
    <w:rsid w:val="001A7662"/>
    <w:rsid w:val="001B0E28"/>
    <w:rsid w:val="001B32E4"/>
    <w:rsid w:val="001B3BE0"/>
    <w:rsid w:val="001B7B38"/>
    <w:rsid w:val="001C015D"/>
    <w:rsid w:val="001C120D"/>
    <w:rsid w:val="001C1DA8"/>
    <w:rsid w:val="001C3DE6"/>
    <w:rsid w:val="001C5FF2"/>
    <w:rsid w:val="001C6A56"/>
    <w:rsid w:val="001C7EC9"/>
    <w:rsid w:val="001D018B"/>
    <w:rsid w:val="001D0249"/>
    <w:rsid w:val="001D04DC"/>
    <w:rsid w:val="001D0909"/>
    <w:rsid w:val="001D19E3"/>
    <w:rsid w:val="001D26C7"/>
    <w:rsid w:val="001D5871"/>
    <w:rsid w:val="001D5DBC"/>
    <w:rsid w:val="001D6B65"/>
    <w:rsid w:val="001D6FC6"/>
    <w:rsid w:val="001D7B17"/>
    <w:rsid w:val="001E00DA"/>
    <w:rsid w:val="001E1467"/>
    <w:rsid w:val="001E1CC3"/>
    <w:rsid w:val="001E3500"/>
    <w:rsid w:val="001E39A2"/>
    <w:rsid w:val="001E62E8"/>
    <w:rsid w:val="001E72DD"/>
    <w:rsid w:val="001F1A78"/>
    <w:rsid w:val="001F1B88"/>
    <w:rsid w:val="001F453C"/>
    <w:rsid w:val="001F4B1D"/>
    <w:rsid w:val="001F50FA"/>
    <w:rsid w:val="001F5A61"/>
    <w:rsid w:val="001F6C1A"/>
    <w:rsid w:val="001F71F5"/>
    <w:rsid w:val="001F773A"/>
    <w:rsid w:val="001F77EC"/>
    <w:rsid w:val="002064A4"/>
    <w:rsid w:val="00207E4A"/>
    <w:rsid w:val="00210AA5"/>
    <w:rsid w:val="00211683"/>
    <w:rsid w:val="00211A67"/>
    <w:rsid w:val="00212FDE"/>
    <w:rsid w:val="002156E5"/>
    <w:rsid w:val="00216D82"/>
    <w:rsid w:val="00220248"/>
    <w:rsid w:val="002221AB"/>
    <w:rsid w:val="00223198"/>
    <w:rsid w:val="00226100"/>
    <w:rsid w:val="0022772A"/>
    <w:rsid w:val="0023036A"/>
    <w:rsid w:val="00230B2B"/>
    <w:rsid w:val="00230DD6"/>
    <w:rsid w:val="00230FFE"/>
    <w:rsid w:val="00232B21"/>
    <w:rsid w:val="002357A7"/>
    <w:rsid w:val="00236566"/>
    <w:rsid w:val="00236C48"/>
    <w:rsid w:val="00237AA0"/>
    <w:rsid w:val="00243065"/>
    <w:rsid w:val="00244338"/>
    <w:rsid w:val="002451D3"/>
    <w:rsid w:val="00251416"/>
    <w:rsid w:val="002515F1"/>
    <w:rsid w:val="002524CE"/>
    <w:rsid w:val="002528F4"/>
    <w:rsid w:val="00252EF0"/>
    <w:rsid w:val="00253C08"/>
    <w:rsid w:val="00253D98"/>
    <w:rsid w:val="00255A64"/>
    <w:rsid w:val="00256262"/>
    <w:rsid w:val="002601B9"/>
    <w:rsid w:val="00262843"/>
    <w:rsid w:val="0026318C"/>
    <w:rsid w:val="0026451C"/>
    <w:rsid w:val="002649A6"/>
    <w:rsid w:val="00266886"/>
    <w:rsid w:val="00270061"/>
    <w:rsid w:val="0027025A"/>
    <w:rsid w:val="00276B5E"/>
    <w:rsid w:val="002836CD"/>
    <w:rsid w:val="0028400F"/>
    <w:rsid w:val="002844FB"/>
    <w:rsid w:val="0028574B"/>
    <w:rsid w:val="0029204A"/>
    <w:rsid w:val="00295233"/>
    <w:rsid w:val="00296C3C"/>
    <w:rsid w:val="002971A8"/>
    <w:rsid w:val="00297CD3"/>
    <w:rsid w:val="002A0DC2"/>
    <w:rsid w:val="002A2737"/>
    <w:rsid w:val="002A3399"/>
    <w:rsid w:val="002A5AEE"/>
    <w:rsid w:val="002B0679"/>
    <w:rsid w:val="002B1E34"/>
    <w:rsid w:val="002B4144"/>
    <w:rsid w:val="002B58C6"/>
    <w:rsid w:val="002C237E"/>
    <w:rsid w:val="002C58D1"/>
    <w:rsid w:val="002C7993"/>
    <w:rsid w:val="002D1A48"/>
    <w:rsid w:val="002D2741"/>
    <w:rsid w:val="002D2B6D"/>
    <w:rsid w:val="002D303D"/>
    <w:rsid w:val="002D3798"/>
    <w:rsid w:val="002D5573"/>
    <w:rsid w:val="002E3314"/>
    <w:rsid w:val="002E37B1"/>
    <w:rsid w:val="002E3954"/>
    <w:rsid w:val="002E57B3"/>
    <w:rsid w:val="002E5B14"/>
    <w:rsid w:val="002E6753"/>
    <w:rsid w:val="002F08A9"/>
    <w:rsid w:val="002F21B4"/>
    <w:rsid w:val="002F2B6B"/>
    <w:rsid w:val="002F3EBE"/>
    <w:rsid w:val="002F59D1"/>
    <w:rsid w:val="002F6D6E"/>
    <w:rsid w:val="002F77C5"/>
    <w:rsid w:val="00301B52"/>
    <w:rsid w:val="00301F2A"/>
    <w:rsid w:val="0030292A"/>
    <w:rsid w:val="00302A60"/>
    <w:rsid w:val="00305591"/>
    <w:rsid w:val="00307E88"/>
    <w:rsid w:val="00307F2D"/>
    <w:rsid w:val="00310FF6"/>
    <w:rsid w:val="00311CD8"/>
    <w:rsid w:val="00320641"/>
    <w:rsid w:val="0032119A"/>
    <w:rsid w:val="00321F02"/>
    <w:rsid w:val="00322BAA"/>
    <w:rsid w:val="00322BD8"/>
    <w:rsid w:val="00324E1A"/>
    <w:rsid w:val="00327FC1"/>
    <w:rsid w:val="0033156E"/>
    <w:rsid w:val="00333791"/>
    <w:rsid w:val="00334E15"/>
    <w:rsid w:val="00335017"/>
    <w:rsid w:val="00335924"/>
    <w:rsid w:val="00336DDC"/>
    <w:rsid w:val="003377EC"/>
    <w:rsid w:val="0034137D"/>
    <w:rsid w:val="003414C7"/>
    <w:rsid w:val="00342CFD"/>
    <w:rsid w:val="003433D6"/>
    <w:rsid w:val="00344979"/>
    <w:rsid w:val="00344FE2"/>
    <w:rsid w:val="00347F99"/>
    <w:rsid w:val="00351688"/>
    <w:rsid w:val="003524AB"/>
    <w:rsid w:val="00352F4F"/>
    <w:rsid w:val="00353C82"/>
    <w:rsid w:val="0035482A"/>
    <w:rsid w:val="003608D2"/>
    <w:rsid w:val="00360901"/>
    <w:rsid w:val="00361B0B"/>
    <w:rsid w:val="00362251"/>
    <w:rsid w:val="00362698"/>
    <w:rsid w:val="003639F5"/>
    <w:rsid w:val="00364E2C"/>
    <w:rsid w:val="00364FA5"/>
    <w:rsid w:val="0036660E"/>
    <w:rsid w:val="0036751D"/>
    <w:rsid w:val="00367F02"/>
    <w:rsid w:val="00370DA8"/>
    <w:rsid w:val="0037396B"/>
    <w:rsid w:val="00373C5E"/>
    <w:rsid w:val="00374CC3"/>
    <w:rsid w:val="003753E8"/>
    <w:rsid w:val="00380648"/>
    <w:rsid w:val="00381278"/>
    <w:rsid w:val="003817E2"/>
    <w:rsid w:val="00381C59"/>
    <w:rsid w:val="003839D2"/>
    <w:rsid w:val="00384420"/>
    <w:rsid w:val="00386ECD"/>
    <w:rsid w:val="00387916"/>
    <w:rsid w:val="003906D9"/>
    <w:rsid w:val="003926E7"/>
    <w:rsid w:val="003954EF"/>
    <w:rsid w:val="003A2F7E"/>
    <w:rsid w:val="003A4847"/>
    <w:rsid w:val="003A4CE5"/>
    <w:rsid w:val="003B140D"/>
    <w:rsid w:val="003B2FBB"/>
    <w:rsid w:val="003B34D7"/>
    <w:rsid w:val="003B573C"/>
    <w:rsid w:val="003B62B0"/>
    <w:rsid w:val="003C137D"/>
    <w:rsid w:val="003C1EBB"/>
    <w:rsid w:val="003C3289"/>
    <w:rsid w:val="003C451B"/>
    <w:rsid w:val="003C4994"/>
    <w:rsid w:val="003C5957"/>
    <w:rsid w:val="003C6C86"/>
    <w:rsid w:val="003D1DD5"/>
    <w:rsid w:val="003D44E0"/>
    <w:rsid w:val="003D4FF2"/>
    <w:rsid w:val="003D7147"/>
    <w:rsid w:val="003E7FA9"/>
    <w:rsid w:val="003F0C66"/>
    <w:rsid w:val="003F1AD7"/>
    <w:rsid w:val="003F7B0F"/>
    <w:rsid w:val="00402DD6"/>
    <w:rsid w:val="0040502C"/>
    <w:rsid w:val="0040747A"/>
    <w:rsid w:val="00413E45"/>
    <w:rsid w:val="00415BD0"/>
    <w:rsid w:val="004165CF"/>
    <w:rsid w:val="00417E12"/>
    <w:rsid w:val="004217CE"/>
    <w:rsid w:val="004219EB"/>
    <w:rsid w:val="0042370F"/>
    <w:rsid w:val="00424DD9"/>
    <w:rsid w:val="00425E1D"/>
    <w:rsid w:val="00426026"/>
    <w:rsid w:val="004260BB"/>
    <w:rsid w:val="00431300"/>
    <w:rsid w:val="00433816"/>
    <w:rsid w:val="0043518E"/>
    <w:rsid w:val="00435744"/>
    <w:rsid w:val="004425C0"/>
    <w:rsid w:val="0044285D"/>
    <w:rsid w:val="00447291"/>
    <w:rsid w:val="00447E8E"/>
    <w:rsid w:val="004504D8"/>
    <w:rsid w:val="0045078A"/>
    <w:rsid w:val="00450B15"/>
    <w:rsid w:val="0045137A"/>
    <w:rsid w:val="004528AC"/>
    <w:rsid w:val="00453D33"/>
    <w:rsid w:val="00454B09"/>
    <w:rsid w:val="004574DE"/>
    <w:rsid w:val="004579A0"/>
    <w:rsid w:val="00463A4A"/>
    <w:rsid w:val="00463ADE"/>
    <w:rsid w:val="004655A4"/>
    <w:rsid w:val="00465917"/>
    <w:rsid w:val="004670B1"/>
    <w:rsid w:val="0046725F"/>
    <w:rsid w:val="00467C53"/>
    <w:rsid w:val="00467FA4"/>
    <w:rsid w:val="00470099"/>
    <w:rsid w:val="00471B5D"/>
    <w:rsid w:val="00473D53"/>
    <w:rsid w:val="004757C5"/>
    <w:rsid w:val="00476826"/>
    <w:rsid w:val="00476863"/>
    <w:rsid w:val="004773CE"/>
    <w:rsid w:val="004774AE"/>
    <w:rsid w:val="004778EC"/>
    <w:rsid w:val="00481C5C"/>
    <w:rsid w:val="00486538"/>
    <w:rsid w:val="004906E4"/>
    <w:rsid w:val="0049427D"/>
    <w:rsid w:val="004954D4"/>
    <w:rsid w:val="004A0374"/>
    <w:rsid w:val="004A646E"/>
    <w:rsid w:val="004B0097"/>
    <w:rsid w:val="004B1CA5"/>
    <w:rsid w:val="004B22A9"/>
    <w:rsid w:val="004B3DC7"/>
    <w:rsid w:val="004B3EEE"/>
    <w:rsid w:val="004B45CA"/>
    <w:rsid w:val="004C02AF"/>
    <w:rsid w:val="004C1117"/>
    <w:rsid w:val="004C18E4"/>
    <w:rsid w:val="004C5D58"/>
    <w:rsid w:val="004D1D37"/>
    <w:rsid w:val="004D2DCC"/>
    <w:rsid w:val="004D3218"/>
    <w:rsid w:val="004D5CC8"/>
    <w:rsid w:val="004D7656"/>
    <w:rsid w:val="004D7C7F"/>
    <w:rsid w:val="004E084F"/>
    <w:rsid w:val="004E1603"/>
    <w:rsid w:val="004E29C3"/>
    <w:rsid w:val="004E3421"/>
    <w:rsid w:val="004E3C51"/>
    <w:rsid w:val="004E3DD3"/>
    <w:rsid w:val="004F196A"/>
    <w:rsid w:val="004F2669"/>
    <w:rsid w:val="004F3643"/>
    <w:rsid w:val="004F378B"/>
    <w:rsid w:val="004F48E4"/>
    <w:rsid w:val="004F4EB8"/>
    <w:rsid w:val="004F69FB"/>
    <w:rsid w:val="00500971"/>
    <w:rsid w:val="00501180"/>
    <w:rsid w:val="00502397"/>
    <w:rsid w:val="00502D78"/>
    <w:rsid w:val="005055D9"/>
    <w:rsid w:val="00506424"/>
    <w:rsid w:val="00514283"/>
    <w:rsid w:val="0051480C"/>
    <w:rsid w:val="005169C6"/>
    <w:rsid w:val="005202FD"/>
    <w:rsid w:val="00520629"/>
    <w:rsid w:val="005227F9"/>
    <w:rsid w:val="00523A66"/>
    <w:rsid w:val="00526780"/>
    <w:rsid w:val="00526A6D"/>
    <w:rsid w:val="00527E52"/>
    <w:rsid w:val="00532157"/>
    <w:rsid w:val="0053215B"/>
    <w:rsid w:val="005337BE"/>
    <w:rsid w:val="00533876"/>
    <w:rsid w:val="00534137"/>
    <w:rsid w:val="00537404"/>
    <w:rsid w:val="005420CD"/>
    <w:rsid w:val="00543429"/>
    <w:rsid w:val="00543710"/>
    <w:rsid w:val="0054379D"/>
    <w:rsid w:val="0054496A"/>
    <w:rsid w:val="00544997"/>
    <w:rsid w:val="005455CF"/>
    <w:rsid w:val="00545610"/>
    <w:rsid w:val="00547775"/>
    <w:rsid w:val="00553BD9"/>
    <w:rsid w:val="0055572C"/>
    <w:rsid w:val="00555B60"/>
    <w:rsid w:val="005617C4"/>
    <w:rsid w:val="005637D1"/>
    <w:rsid w:val="0056410B"/>
    <w:rsid w:val="00565A7A"/>
    <w:rsid w:val="00575384"/>
    <w:rsid w:val="00575617"/>
    <w:rsid w:val="00576AA7"/>
    <w:rsid w:val="00577B37"/>
    <w:rsid w:val="00583927"/>
    <w:rsid w:val="00585A61"/>
    <w:rsid w:val="0058771A"/>
    <w:rsid w:val="00587DFE"/>
    <w:rsid w:val="00590624"/>
    <w:rsid w:val="0059264C"/>
    <w:rsid w:val="00592B93"/>
    <w:rsid w:val="00594947"/>
    <w:rsid w:val="005A0D06"/>
    <w:rsid w:val="005A15B0"/>
    <w:rsid w:val="005A5D51"/>
    <w:rsid w:val="005B0854"/>
    <w:rsid w:val="005B40A5"/>
    <w:rsid w:val="005B56A2"/>
    <w:rsid w:val="005B6BEE"/>
    <w:rsid w:val="005B7651"/>
    <w:rsid w:val="005C11F0"/>
    <w:rsid w:val="005C1260"/>
    <w:rsid w:val="005C4854"/>
    <w:rsid w:val="005C4F9B"/>
    <w:rsid w:val="005C5D6D"/>
    <w:rsid w:val="005C622E"/>
    <w:rsid w:val="005D1DF5"/>
    <w:rsid w:val="005D5D45"/>
    <w:rsid w:val="005D6313"/>
    <w:rsid w:val="005D66B6"/>
    <w:rsid w:val="005E180A"/>
    <w:rsid w:val="005E3873"/>
    <w:rsid w:val="005E5C1D"/>
    <w:rsid w:val="005E6ECA"/>
    <w:rsid w:val="005F0642"/>
    <w:rsid w:val="005F31B0"/>
    <w:rsid w:val="005F3EBA"/>
    <w:rsid w:val="005F4C8D"/>
    <w:rsid w:val="005F4D42"/>
    <w:rsid w:val="005F5E28"/>
    <w:rsid w:val="005F6511"/>
    <w:rsid w:val="00602228"/>
    <w:rsid w:val="00602CC2"/>
    <w:rsid w:val="00604D4B"/>
    <w:rsid w:val="00607E87"/>
    <w:rsid w:val="006111A4"/>
    <w:rsid w:val="00611BC8"/>
    <w:rsid w:val="00612991"/>
    <w:rsid w:val="0061663C"/>
    <w:rsid w:val="006166BD"/>
    <w:rsid w:val="006169B1"/>
    <w:rsid w:val="00616B84"/>
    <w:rsid w:val="00616C24"/>
    <w:rsid w:val="00617C31"/>
    <w:rsid w:val="006203F4"/>
    <w:rsid w:val="00621272"/>
    <w:rsid w:val="006222C2"/>
    <w:rsid w:val="00623ECC"/>
    <w:rsid w:val="0062490F"/>
    <w:rsid w:val="00624BC5"/>
    <w:rsid w:val="00624F22"/>
    <w:rsid w:val="0062516B"/>
    <w:rsid w:val="0062532A"/>
    <w:rsid w:val="00630347"/>
    <w:rsid w:val="00634B9F"/>
    <w:rsid w:val="00643E48"/>
    <w:rsid w:val="00646211"/>
    <w:rsid w:val="00652B9B"/>
    <w:rsid w:val="006542B2"/>
    <w:rsid w:val="00654520"/>
    <w:rsid w:val="00660040"/>
    <w:rsid w:val="006622C4"/>
    <w:rsid w:val="00665A1A"/>
    <w:rsid w:val="00666618"/>
    <w:rsid w:val="0066702D"/>
    <w:rsid w:val="0067272F"/>
    <w:rsid w:val="00674650"/>
    <w:rsid w:val="00675059"/>
    <w:rsid w:val="006775CD"/>
    <w:rsid w:val="0068090E"/>
    <w:rsid w:val="00681F66"/>
    <w:rsid w:val="006820D5"/>
    <w:rsid w:val="00682ACA"/>
    <w:rsid w:val="0068571E"/>
    <w:rsid w:val="00686117"/>
    <w:rsid w:val="006875C7"/>
    <w:rsid w:val="00687A33"/>
    <w:rsid w:val="00691443"/>
    <w:rsid w:val="00691758"/>
    <w:rsid w:val="00693753"/>
    <w:rsid w:val="0069537B"/>
    <w:rsid w:val="006A0CEA"/>
    <w:rsid w:val="006A12B1"/>
    <w:rsid w:val="006A15F4"/>
    <w:rsid w:val="006A2D8B"/>
    <w:rsid w:val="006A3F79"/>
    <w:rsid w:val="006A4356"/>
    <w:rsid w:val="006A7056"/>
    <w:rsid w:val="006B26C3"/>
    <w:rsid w:val="006B41E4"/>
    <w:rsid w:val="006B5380"/>
    <w:rsid w:val="006B6139"/>
    <w:rsid w:val="006B714B"/>
    <w:rsid w:val="006B7A44"/>
    <w:rsid w:val="006C0A3C"/>
    <w:rsid w:val="006C5862"/>
    <w:rsid w:val="006C751A"/>
    <w:rsid w:val="006D0130"/>
    <w:rsid w:val="006D2CD8"/>
    <w:rsid w:val="006E032A"/>
    <w:rsid w:val="006E0791"/>
    <w:rsid w:val="006E7B63"/>
    <w:rsid w:val="006F0B43"/>
    <w:rsid w:val="006F18F6"/>
    <w:rsid w:val="006F2409"/>
    <w:rsid w:val="006F36AC"/>
    <w:rsid w:val="006F5649"/>
    <w:rsid w:val="006F621D"/>
    <w:rsid w:val="006F784B"/>
    <w:rsid w:val="0070254D"/>
    <w:rsid w:val="00702AC1"/>
    <w:rsid w:val="00703CF9"/>
    <w:rsid w:val="00707F17"/>
    <w:rsid w:val="00711CE2"/>
    <w:rsid w:val="00711D0F"/>
    <w:rsid w:val="00714166"/>
    <w:rsid w:val="00716484"/>
    <w:rsid w:val="00716994"/>
    <w:rsid w:val="00723C4F"/>
    <w:rsid w:val="0072487A"/>
    <w:rsid w:val="00731EAA"/>
    <w:rsid w:val="00736294"/>
    <w:rsid w:val="0074197D"/>
    <w:rsid w:val="00742535"/>
    <w:rsid w:val="00744D83"/>
    <w:rsid w:val="007451BF"/>
    <w:rsid w:val="00745EC4"/>
    <w:rsid w:val="00745F38"/>
    <w:rsid w:val="0074624B"/>
    <w:rsid w:val="00747249"/>
    <w:rsid w:val="00747548"/>
    <w:rsid w:val="00752E14"/>
    <w:rsid w:val="00754569"/>
    <w:rsid w:val="00754BD5"/>
    <w:rsid w:val="00754CB4"/>
    <w:rsid w:val="007553D7"/>
    <w:rsid w:val="007559D5"/>
    <w:rsid w:val="00755AED"/>
    <w:rsid w:val="00760E90"/>
    <w:rsid w:val="007618F6"/>
    <w:rsid w:val="00763E45"/>
    <w:rsid w:val="00764165"/>
    <w:rsid w:val="007641A8"/>
    <w:rsid w:val="00765B10"/>
    <w:rsid w:val="00765D09"/>
    <w:rsid w:val="00767371"/>
    <w:rsid w:val="0076778D"/>
    <w:rsid w:val="00774B89"/>
    <w:rsid w:val="00775453"/>
    <w:rsid w:val="00780960"/>
    <w:rsid w:val="0078132E"/>
    <w:rsid w:val="00784745"/>
    <w:rsid w:val="0078753B"/>
    <w:rsid w:val="00787763"/>
    <w:rsid w:val="00790544"/>
    <w:rsid w:val="00790A6E"/>
    <w:rsid w:val="007917BF"/>
    <w:rsid w:val="00792A5B"/>
    <w:rsid w:val="00792A6C"/>
    <w:rsid w:val="0079569B"/>
    <w:rsid w:val="00796D3A"/>
    <w:rsid w:val="00796E13"/>
    <w:rsid w:val="00796FAF"/>
    <w:rsid w:val="0079738B"/>
    <w:rsid w:val="007A004E"/>
    <w:rsid w:val="007A0592"/>
    <w:rsid w:val="007A1C2E"/>
    <w:rsid w:val="007A39D5"/>
    <w:rsid w:val="007A3C09"/>
    <w:rsid w:val="007A4A24"/>
    <w:rsid w:val="007A6BA5"/>
    <w:rsid w:val="007A6BDE"/>
    <w:rsid w:val="007A71FC"/>
    <w:rsid w:val="007A7C6B"/>
    <w:rsid w:val="007B0EC4"/>
    <w:rsid w:val="007B1EC6"/>
    <w:rsid w:val="007B54A4"/>
    <w:rsid w:val="007B6CD3"/>
    <w:rsid w:val="007B7FD7"/>
    <w:rsid w:val="007C00D3"/>
    <w:rsid w:val="007C3A4A"/>
    <w:rsid w:val="007C716E"/>
    <w:rsid w:val="007C771C"/>
    <w:rsid w:val="007D0506"/>
    <w:rsid w:val="007D0C52"/>
    <w:rsid w:val="007D18CC"/>
    <w:rsid w:val="007D3EED"/>
    <w:rsid w:val="007D6346"/>
    <w:rsid w:val="007E17D4"/>
    <w:rsid w:val="007E44C1"/>
    <w:rsid w:val="007E6026"/>
    <w:rsid w:val="007E62DB"/>
    <w:rsid w:val="007E71FA"/>
    <w:rsid w:val="007F1747"/>
    <w:rsid w:val="007F266A"/>
    <w:rsid w:val="007F2F4E"/>
    <w:rsid w:val="007F445D"/>
    <w:rsid w:val="007F78C5"/>
    <w:rsid w:val="0080076B"/>
    <w:rsid w:val="00801337"/>
    <w:rsid w:val="008029B6"/>
    <w:rsid w:val="00802C95"/>
    <w:rsid w:val="00806F72"/>
    <w:rsid w:val="00807F63"/>
    <w:rsid w:val="00810A79"/>
    <w:rsid w:val="0081109E"/>
    <w:rsid w:val="0081132C"/>
    <w:rsid w:val="0081164A"/>
    <w:rsid w:val="00812221"/>
    <w:rsid w:val="00812373"/>
    <w:rsid w:val="00814188"/>
    <w:rsid w:val="00816057"/>
    <w:rsid w:val="00817ED0"/>
    <w:rsid w:val="00821B36"/>
    <w:rsid w:val="00826A7B"/>
    <w:rsid w:val="00827C8E"/>
    <w:rsid w:val="00831125"/>
    <w:rsid w:val="00831B4F"/>
    <w:rsid w:val="00832374"/>
    <w:rsid w:val="008330AD"/>
    <w:rsid w:val="008333DB"/>
    <w:rsid w:val="00836E78"/>
    <w:rsid w:val="008407CB"/>
    <w:rsid w:val="008437B4"/>
    <w:rsid w:val="0084519C"/>
    <w:rsid w:val="008459B6"/>
    <w:rsid w:val="008478E1"/>
    <w:rsid w:val="0084792E"/>
    <w:rsid w:val="00851E45"/>
    <w:rsid w:val="00852258"/>
    <w:rsid w:val="008552D6"/>
    <w:rsid w:val="00857553"/>
    <w:rsid w:val="00862F26"/>
    <w:rsid w:val="00863EC4"/>
    <w:rsid w:val="0086519D"/>
    <w:rsid w:val="0086640D"/>
    <w:rsid w:val="00871726"/>
    <w:rsid w:val="00871871"/>
    <w:rsid w:val="00871B60"/>
    <w:rsid w:val="00874B26"/>
    <w:rsid w:val="008800F4"/>
    <w:rsid w:val="008808D8"/>
    <w:rsid w:val="00890C25"/>
    <w:rsid w:val="0089235F"/>
    <w:rsid w:val="00897D31"/>
    <w:rsid w:val="008A08A3"/>
    <w:rsid w:val="008A4676"/>
    <w:rsid w:val="008A5672"/>
    <w:rsid w:val="008A79BF"/>
    <w:rsid w:val="008B0449"/>
    <w:rsid w:val="008B059A"/>
    <w:rsid w:val="008B3D15"/>
    <w:rsid w:val="008B5747"/>
    <w:rsid w:val="008B7139"/>
    <w:rsid w:val="008B73FC"/>
    <w:rsid w:val="008C0B20"/>
    <w:rsid w:val="008C3F8F"/>
    <w:rsid w:val="008D0B0E"/>
    <w:rsid w:val="008D236C"/>
    <w:rsid w:val="008D36C6"/>
    <w:rsid w:val="008E0F27"/>
    <w:rsid w:val="008E54D7"/>
    <w:rsid w:val="008E6738"/>
    <w:rsid w:val="008E7258"/>
    <w:rsid w:val="008E72DD"/>
    <w:rsid w:val="008F11BC"/>
    <w:rsid w:val="008F17F5"/>
    <w:rsid w:val="008F1B43"/>
    <w:rsid w:val="008F327B"/>
    <w:rsid w:val="008F3AA9"/>
    <w:rsid w:val="008F451D"/>
    <w:rsid w:val="008F6264"/>
    <w:rsid w:val="008F76E0"/>
    <w:rsid w:val="00901BB0"/>
    <w:rsid w:val="00905D51"/>
    <w:rsid w:val="00906FB4"/>
    <w:rsid w:val="00914F5D"/>
    <w:rsid w:val="00920DE5"/>
    <w:rsid w:val="0092145F"/>
    <w:rsid w:val="0092454D"/>
    <w:rsid w:val="009262E6"/>
    <w:rsid w:val="00926C6F"/>
    <w:rsid w:val="009328BE"/>
    <w:rsid w:val="00934C48"/>
    <w:rsid w:val="00934CBF"/>
    <w:rsid w:val="0093507E"/>
    <w:rsid w:val="0094343F"/>
    <w:rsid w:val="00947810"/>
    <w:rsid w:val="009502C5"/>
    <w:rsid w:val="00955D82"/>
    <w:rsid w:val="00961309"/>
    <w:rsid w:val="00962030"/>
    <w:rsid w:val="009629D9"/>
    <w:rsid w:val="00962A34"/>
    <w:rsid w:val="009630BA"/>
    <w:rsid w:val="00964738"/>
    <w:rsid w:val="00965AC2"/>
    <w:rsid w:val="00967657"/>
    <w:rsid w:val="00967E35"/>
    <w:rsid w:val="009841D4"/>
    <w:rsid w:val="00986212"/>
    <w:rsid w:val="00987105"/>
    <w:rsid w:val="009876F0"/>
    <w:rsid w:val="00987AB1"/>
    <w:rsid w:val="009925C4"/>
    <w:rsid w:val="00992B51"/>
    <w:rsid w:val="009960B2"/>
    <w:rsid w:val="009A047F"/>
    <w:rsid w:val="009A1A83"/>
    <w:rsid w:val="009A29CC"/>
    <w:rsid w:val="009A2FC2"/>
    <w:rsid w:val="009A3E40"/>
    <w:rsid w:val="009A411B"/>
    <w:rsid w:val="009A41B3"/>
    <w:rsid w:val="009A4452"/>
    <w:rsid w:val="009A44D0"/>
    <w:rsid w:val="009A6BF4"/>
    <w:rsid w:val="009A7953"/>
    <w:rsid w:val="009B2D8E"/>
    <w:rsid w:val="009B5CC3"/>
    <w:rsid w:val="009C03C6"/>
    <w:rsid w:val="009C0451"/>
    <w:rsid w:val="009C2760"/>
    <w:rsid w:val="009C27EA"/>
    <w:rsid w:val="009C6D88"/>
    <w:rsid w:val="009C7F5F"/>
    <w:rsid w:val="009D003A"/>
    <w:rsid w:val="009D065C"/>
    <w:rsid w:val="009D0AF0"/>
    <w:rsid w:val="009D175C"/>
    <w:rsid w:val="009D4177"/>
    <w:rsid w:val="009D7513"/>
    <w:rsid w:val="009D7D35"/>
    <w:rsid w:val="009D7E62"/>
    <w:rsid w:val="009E1D78"/>
    <w:rsid w:val="009E223F"/>
    <w:rsid w:val="009E225F"/>
    <w:rsid w:val="009E24C8"/>
    <w:rsid w:val="009E4A43"/>
    <w:rsid w:val="009E5D3D"/>
    <w:rsid w:val="009F375C"/>
    <w:rsid w:val="009F425E"/>
    <w:rsid w:val="009F437A"/>
    <w:rsid w:val="009F7BAF"/>
    <w:rsid w:val="00A0238D"/>
    <w:rsid w:val="00A02405"/>
    <w:rsid w:val="00A025C0"/>
    <w:rsid w:val="00A03246"/>
    <w:rsid w:val="00A0451C"/>
    <w:rsid w:val="00A06B68"/>
    <w:rsid w:val="00A1056B"/>
    <w:rsid w:val="00A125B2"/>
    <w:rsid w:val="00A12828"/>
    <w:rsid w:val="00A13BB4"/>
    <w:rsid w:val="00A14EBA"/>
    <w:rsid w:val="00A15CC5"/>
    <w:rsid w:val="00A1747B"/>
    <w:rsid w:val="00A178C6"/>
    <w:rsid w:val="00A17B6B"/>
    <w:rsid w:val="00A227FD"/>
    <w:rsid w:val="00A2713A"/>
    <w:rsid w:val="00A27FDA"/>
    <w:rsid w:val="00A30A50"/>
    <w:rsid w:val="00A30C68"/>
    <w:rsid w:val="00A33A09"/>
    <w:rsid w:val="00A34087"/>
    <w:rsid w:val="00A37A48"/>
    <w:rsid w:val="00A40540"/>
    <w:rsid w:val="00A41122"/>
    <w:rsid w:val="00A42D4F"/>
    <w:rsid w:val="00A47239"/>
    <w:rsid w:val="00A503AE"/>
    <w:rsid w:val="00A50DEF"/>
    <w:rsid w:val="00A51717"/>
    <w:rsid w:val="00A51A31"/>
    <w:rsid w:val="00A53100"/>
    <w:rsid w:val="00A5669C"/>
    <w:rsid w:val="00A64AED"/>
    <w:rsid w:val="00A655B5"/>
    <w:rsid w:val="00A70140"/>
    <w:rsid w:val="00A72438"/>
    <w:rsid w:val="00A725F2"/>
    <w:rsid w:val="00A727FF"/>
    <w:rsid w:val="00A75000"/>
    <w:rsid w:val="00A7589F"/>
    <w:rsid w:val="00A75AD5"/>
    <w:rsid w:val="00A813E3"/>
    <w:rsid w:val="00A82133"/>
    <w:rsid w:val="00A8271F"/>
    <w:rsid w:val="00A82E3B"/>
    <w:rsid w:val="00A835A7"/>
    <w:rsid w:val="00A8685B"/>
    <w:rsid w:val="00A87015"/>
    <w:rsid w:val="00A904B2"/>
    <w:rsid w:val="00A92CAC"/>
    <w:rsid w:val="00A92D4B"/>
    <w:rsid w:val="00A93F91"/>
    <w:rsid w:val="00A9739C"/>
    <w:rsid w:val="00AA0930"/>
    <w:rsid w:val="00AA2290"/>
    <w:rsid w:val="00AA2C9E"/>
    <w:rsid w:val="00AA7781"/>
    <w:rsid w:val="00AB2C2B"/>
    <w:rsid w:val="00AB3486"/>
    <w:rsid w:val="00AB3D5D"/>
    <w:rsid w:val="00AB70C8"/>
    <w:rsid w:val="00AB79C8"/>
    <w:rsid w:val="00AC09A4"/>
    <w:rsid w:val="00AC18B6"/>
    <w:rsid w:val="00AC2107"/>
    <w:rsid w:val="00AC5545"/>
    <w:rsid w:val="00AC57C9"/>
    <w:rsid w:val="00AC5850"/>
    <w:rsid w:val="00AD0BF0"/>
    <w:rsid w:val="00AD0C9F"/>
    <w:rsid w:val="00AD190F"/>
    <w:rsid w:val="00AD412C"/>
    <w:rsid w:val="00AE2DF4"/>
    <w:rsid w:val="00AE553F"/>
    <w:rsid w:val="00AE6112"/>
    <w:rsid w:val="00AE68EA"/>
    <w:rsid w:val="00AE7A5D"/>
    <w:rsid w:val="00AF1C7C"/>
    <w:rsid w:val="00AF1D18"/>
    <w:rsid w:val="00AF2793"/>
    <w:rsid w:val="00AF5E30"/>
    <w:rsid w:val="00AF71D6"/>
    <w:rsid w:val="00B03E6C"/>
    <w:rsid w:val="00B10E20"/>
    <w:rsid w:val="00B11BF0"/>
    <w:rsid w:val="00B12F46"/>
    <w:rsid w:val="00B13981"/>
    <w:rsid w:val="00B1561D"/>
    <w:rsid w:val="00B17DCA"/>
    <w:rsid w:val="00B20890"/>
    <w:rsid w:val="00B21C6D"/>
    <w:rsid w:val="00B348E7"/>
    <w:rsid w:val="00B34EFB"/>
    <w:rsid w:val="00B35FEC"/>
    <w:rsid w:val="00B36F09"/>
    <w:rsid w:val="00B375C9"/>
    <w:rsid w:val="00B40265"/>
    <w:rsid w:val="00B43E2F"/>
    <w:rsid w:val="00B44D4F"/>
    <w:rsid w:val="00B457D1"/>
    <w:rsid w:val="00B4592C"/>
    <w:rsid w:val="00B4704C"/>
    <w:rsid w:val="00B526D2"/>
    <w:rsid w:val="00B52C14"/>
    <w:rsid w:val="00B54C84"/>
    <w:rsid w:val="00B54F34"/>
    <w:rsid w:val="00B562E3"/>
    <w:rsid w:val="00B56485"/>
    <w:rsid w:val="00B57FC2"/>
    <w:rsid w:val="00B60AD6"/>
    <w:rsid w:val="00B60D84"/>
    <w:rsid w:val="00B623C8"/>
    <w:rsid w:val="00B63ECA"/>
    <w:rsid w:val="00B6644F"/>
    <w:rsid w:val="00B670A9"/>
    <w:rsid w:val="00B71083"/>
    <w:rsid w:val="00B71809"/>
    <w:rsid w:val="00B71C2B"/>
    <w:rsid w:val="00B71E97"/>
    <w:rsid w:val="00B72370"/>
    <w:rsid w:val="00B7248E"/>
    <w:rsid w:val="00B724CA"/>
    <w:rsid w:val="00B756A8"/>
    <w:rsid w:val="00B772C4"/>
    <w:rsid w:val="00B80CCA"/>
    <w:rsid w:val="00B85CB2"/>
    <w:rsid w:val="00B85FDF"/>
    <w:rsid w:val="00B90051"/>
    <w:rsid w:val="00B911BE"/>
    <w:rsid w:val="00B9363D"/>
    <w:rsid w:val="00B94486"/>
    <w:rsid w:val="00BA0AC8"/>
    <w:rsid w:val="00BA1913"/>
    <w:rsid w:val="00BA2CB2"/>
    <w:rsid w:val="00BA4BEE"/>
    <w:rsid w:val="00BA534A"/>
    <w:rsid w:val="00BA7826"/>
    <w:rsid w:val="00BB3EA4"/>
    <w:rsid w:val="00BB5B7F"/>
    <w:rsid w:val="00BB6492"/>
    <w:rsid w:val="00BB6DFC"/>
    <w:rsid w:val="00BC0055"/>
    <w:rsid w:val="00BC01AB"/>
    <w:rsid w:val="00BC1D5F"/>
    <w:rsid w:val="00BC3A5E"/>
    <w:rsid w:val="00BC66F9"/>
    <w:rsid w:val="00BD052E"/>
    <w:rsid w:val="00BD05E2"/>
    <w:rsid w:val="00BD2795"/>
    <w:rsid w:val="00BD621A"/>
    <w:rsid w:val="00BE1ADE"/>
    <w:rsid w:val="00BE466B"/>
    <w:rsid w:val="00BF4B47"/>
    <w:rsid w:val="00BF4BC0"/>
    <w:rsid w:val="00BF6CAB"/>
    <w:rsid w:val="00BF78D9"/>
    <w:rsid w:val="00BF793F"/>
    <w:rsid w:val="00C02355"/>
    <w:rsid w:val="00C02D4F"/>
    <w:rsid w:val="00C03880"/>
    <w:rsid w:val="00C039AE"/>
    <w:rsid w:val="00C03B8A"/>
    <w:rsid w:val="00C0560E"/>
    <w:rsid w:val="00C10695"/>
    <w:rsid w:val="00C11DF5"/>
    <w:rsid w:val="00C15338"/>
    <w:rsid w:val="00C17448"/>
    <w:rsid w:val="00C200A7"/>
    <w:rsid w:val="00C21AAB"/>
    <w:rsid w:val="00C2461E"/>
    <w:rsid w:val="00C24AB9"/>
    <w:rsid w:val="00C2504C"/>
    <w:rsid w:val="00C27D86"/>
    <w:rsid w:val="00C27F6C"/>
    <w:rsid w:val="00C307A3"/>
    <w:rsid w:val="00C30D06"/>
    <w:rsid w:val="00C32E3C"/>
    <w:rsid w:val="00C452DE"/>
    <w:rsid w:val="00C47C98"/>
    <w:rsid w:val="00C50180"/>
    <w:rsid w:val="00C5045D"/>
    <w:rsid w:val="00C50484"/>
    <w:rsid w:val="00C50FEC"/>
    <w:rsid w:val="00C52407"/>
    <w:rsid w:val="00C525E2"/>
    <w:rsid w:val="00C52676"/>
    <w:rsid w:val="00C54092"/>
    <w:rsid w:val="00C57640"/>
    <w:rsid w:val="00C60B74"/>
    <w:rsid w:val="00C647AA"/>
    <w:rsid w:val="00C6483B"/>
    <w:rsid w:val="00C648E1"/>
    <w:rsid w:val="00C667B0"/>
    <w:rsid w:val="00C66ECD"/>
    <w:rsid w:val="00C717B6"/>
    <w:rsid w:val="00C71E2C"/>
    <w:rsid w:val="00C754D2"/>
    <w:rsid w:val="00C775C6"/>
    <w:rsid w:val="00C77D80"/>
    <w:rsid w:val="00C81AA6"/>
    <w:rsid w:val="00C82D40"/>
    <w:rsid w:val="00C84199"/>
    <w:rsid w:val="00C935D1"/>
    <w:rsid w:val="00C94F6E"/>
    <w:rsid w:val="00C968D8"/>
    <w:rsid w:val="00C97D17"/>
    <w:rsid w:val="00CA470A"/>
    <w:rsid w:val="00CB3FA4"/>
    <w:rsid w:val="00CB7096"/>
    <w:rsid w:val="00CB7172"/>
    <w:rsid w:val="00CC07F4"/>
    <w:rsid w:val="00CC3CA1"/>
    <w:rsid w:val="00CC7B42"/>
    <w:rsid w:val="00CD068F"/>
    <w:rsid w:val="00CD1765"/>
    <w:rsid w:val="00CD3E3C"/>
    <w:rsid w:val="00CD410F"/>
    <w:rsid w:val="00CD4165"/>
    <w:rsid w:val="00CD45FB"/>
    <w:rsid w:val="00CD57DA"/>
    <w:rsid w:val="00CD69B1"/>
    <w:rsid w:val="00CE5072"/>
    <w:rsid w:val="00CE5386"/>
    <w:rsid w:val="00CE5920"/>
    <w:rsid w:val="00CE6408"/>
    <w:rsid w:val="00CF1450"/>
    <w:rsid w:val="00CF2228"/>
    <w:rsid w:val="00CF2E86"/>
    <w:rsid w:val="00CF3C39"/>
    <w:rsid w:val="00CF5178"/>
    <w:rsid w:val="00CF536F"/>
    <w:rsid w:val="00CF7E0A"/>
    <w:rsid w:val="00D02323"/>
    <w:rsid w:val="00D023B6"/>
    <w:rsid w:val="00D03A2F"/>
    <w:rsid w:val="00D077DB"/>
    <w:rsid w:val="00D07D17"/>
    <w:rsid w:val="00D1067B"/>
    <w:rsid w:val="00D11AEB"/>
    <w:rsid w:val="00D12411"/>
    <w:rsid w:val="00D131A6"/>
    <w:rsid w:val="00D1773C"/>
    <w:rsid w:val="00D177FB"/>
    <w:rsid w:val="00D2198A"/>
    <w:rsid w:val="00D24541"/>
    <w:rsid w:val="00D27900"/>
    <w:rsid w:val="00D30971"/>
    <w:rsid w:val="00D30C6E"/>
    <w:rsid w:val="00D3121E"/>
    <w:rsid w:val="00D33126"/>
    <w:rsid w:val="00D33CFC"/>
    <w:rsid w:val="00D352F6"/>
    <w:rsid w:val="00D3615C"/>
    <w:rsid w:val="00D36341"/>
    <w:rsid w:val="00D36A04"/>
    <w:rsid w:val="00D36A2A"/>
    <w:rsid w:val="00D3730C"/>
    <w:rsid w:val="00D379CF"/>
    <w:rsid w:val="00D42E40"/>
    <w:rsid w:val="00D433C0"/>
    <w:rsid w:val="00D45451"/>
    <w:rsid w:val="00D47A48"/>
    <w:rsid w:val="00D50F34"/>
    <w:rsid w:val="00D55300"/>
    <w:rsid w:val="00D56171"/>
    <w:rsid w:val="00D56DB0"/>
    <w:rsid w:val="00D603B7"/>
    <w:rsid w:val="00D60B41"/>
    <w:rsid w:val="00D61AAC"/>
    <w:rsid w:val="00D65BB2"/>
    <w:rsid w:val="00D70BDA"/>
    <w:rsid w:val="00D72BA8"/>
    <w:rsid w:val="00D73077"/>
    <w:rsid w:val="00D7394F"/>
    <w:rsid w:val="00D7485B"/>
    <w:rsid w:val="00D77BEC"/>
    <w:rsid w:val="00D8023C"/>
    <w:rsid w:val="00D81242"/>
    <w:rsid w:val="00D819CB"/>
    <w:rsid w:val="00D83E41"/>
    <w:rsid w:val="00D84C1D"/>
    <w:rsid w:val="00D86FE2"/>
    <w:rsid w:val="00D879F8"/>
    <w:rsid w:val="00D87E6A"/>
    <w:rsid w:val="00D94E40"/>
    <w:rsid w:val="00DA20DF"/>
    <w:rsid w:val="00DA2195"/>
    <w:rsid w:val="00DA256C"/>
    <w:rsid w:val="00DA3517"/>
    <w:rsid w:val="00DA5C30"/>
    <w:rsid w:val="00DA68CF"/>
    <w:rsid w:val="00DA73E9"/>
    <w:rsid w:val="00DB0DF9"/>
    <w:rsid w:val="00DB0E2A"/>
    <w:rsid w:val="00DB523E"/>
    <w:rsid w:val="00DB63BA"/>
    <w:rsid w:val="00DC0062"/>
    <w:rsid w:val="00DC0E0C"/>
    <w:rsid w:val="00DC1393"/>
    <w:rsid w:val="00DC1695"/>
    <w:rsid w:val="00DC3BB0"/>
    <w:rsid w:val="00DC64CD"/>
    <w:rsid w:val="00DD0D1B"/>
    <w:rsid w:val="00DD1C7A"/>
    <w:rsid w:val="00DD3044"/>
    <w:rsid w:val="00DD4873"/>
    <w:rsid w:val="00DD6964"/>
    <w:rsid w:val="00DD6AB9"/>
    <w:rsid w:val="00DE01A9"/>
    <w:rsid w:val="00DE11E8"/>
    <w:rsid w:val="00DE2BF9"/>
    <w:rsid w:val="00DE52A5"/>
    <w:rsid w:val="00DF2E68"/>
    <w:rsid w:val="00DF300C"/>
    <w:rsid w:val="00DF348B"/>
    <w:rsid w:val="00DF39BC"/>
    <w:rsid w:val="00DF513D"/>
    <w:rsid w:val="00DF5AC2"/>
    <w:rsid w:val="00DF7CF5"/>
    <w:rsid w:val="00E000D4"/>
    <w:rsid w:val="00E0209D"/>
    <w:rsid w:val="00E06A32"/>
    <w:rsid w:val="00E10B26"/>
    <w:rsid w:val="00E1227D"/>
    <w:rsid w:val="00E13327"/>
    <w:rsid w:val="00E145CB"/>
    <w:rsid w:val="00E17AB7"/>
    <w:rsid w:val="00E22048"/>
    <w:rsid w:val="00E223C8"/>
    <w:rsid w:val="00E2327C"/>
    <w:rsid w:val="00E24D52"/>
    <w:rsid w:val="00E258E0"/>
    <w:rsid w:val="00E30B63"/>
    <w:rsid w:val="00E33367"/>
    <w:rsid w:val="00E35742"/>
    <w:rsid w:val="00E419A6"/>
    <w:rsid w:val="00E43DB6"/>
    <w:rsid w:val="00E45FA1"/>
    <w:rsid w:val="00E51FAF"/>
    <w:rsid w:val="00E5487F"/>
    <w:rsid w:val="00E5489A"/>
    <w:rsid w:val="00E556FE"/>
    <w:rsid w:val="00E56D2E"/>
    <w:rsid w:val="00E56D40"/>
    <w:rsid w:val="00E5742C"/>
    <w:rsid w:val="00E60D5A"/>
    <w:rsid w:val="00E62A2E"/>
    <w:rsid w:val="00E62B4B"/>
    <w:rsid w:val="00E63350"/>
    <w:rsid w:val="00E648DC"/>
    <w:rsid w:val="00E64A4F"/>
    <w:rsid w:val="00E67C91"/>
    <w:rsid w:val="00E70085"/>
    <w:rsid w:val="00E7014D"/>
    <w:rsid w:val="00E70476"/>
    <w:rsid w:val="00E71167"/>
    <w:rsid w:val="00E72793"/>
    <w:rsid w:val="00E7506E"/>
    <w:rsid w:val="00E77252"/>
    <w:rsid w:val="00E77479"/>
    <w:rsid w:val="00E77493"/>
    <w:rsid w:val="00E802E6"/>
    <w:rsid w:val="00E8284F"/>
    <w:rsid w:val="00E82CEC"/>
    <w:rsid w:val="00E845BF"/>
    <w:rsid w:val="00E86500"/>
    <w:rsid w:val="00E876EB"/>
    <w:rsid w:val="00E90FA4"/>
    <w:rsid w:val="00E922E9"/>
    <w:rsid w:val="00E9728C"/>
    <w:rsid w:val="00EA1213"/>
    <w:rsid w:val="00EA14B3"/>
    <w:rsid w:val="00EA1E5B"/>
    <w:rsid w:val="00EA2B74"/>
    <w:rsid w:val="00EA4409"/>
    <w:rsid w:val="00EB0960"/>
    <w:rsid w:val="00EB13EC"/>
    <w:rsid w:val="00EB2CD3"/>
    <w:rsid w:val="00EB69FE"/>
    <w:rsid w:val="00EC04F3"/>
    <w:rsid w:val="00EC0A09"/>
    <w:rsid w:val="00EC5EEB"/>
    <w:rsid w:val="00EC7880"/>
    <w:rsid w:val="00ED1A1C"/>
    <w:rsid w:val="00ED24DC"/>
    <w:rsid w:val="00ED49D8"/>
    <w:rsid w:val="00ED4A29"/>
    <w:rsid w:val="00ED4E03"/>
    <w:rsid w:val="00ED55B7"/>
    <w:rsid w:val="00ED5ACE"/>
    <w:rsid w:val="00ED664B"/>
    <w:rsid w:val="00ED66EA"/>
    <w:rsid w:val="00ED67D5"/>
    <w:rsid w:val="00ED68B7"/>
    <w:rsid w:val="00EE1A98"/>
    <w:rsid w:val="00EE2758"/>
    <w:rsid w:val="00EE3FCE"/>
    <w:rsid w:val="00EE42F8"/>
    <w:rsid w:val="00EE6B49"/>
    <w:rsid w:val="00EE7BE0"/>
    <w:rsid w:val="00EF0157"/>
    <w:rsid w:val="00EF0220"/>
    <w:rsid w:val="00EF3B58"/>
    <w:rsid w:val="00EF53C1"/>
    <w:rsid w:val="00F0158D"/>
    <w:rsid w:val="00F04951"/>
    <w:rsid w:val="00F0682A"/>
    <w:rsid w:val="00F07F35"/>
    <w:rsid w:val="00F11A98"/>
    <w:rsid w:val="00F135D0"/>
    <w:rsid w:val="00F140B2"/>
    <w:rsid w:val="00F15045"/>
    <w:rsid w:val="00F150C0"/>
    <w:rsid w:val="00F1609B"/>
    <w:rsid w:val="00F204B6"/>
    <w:rsid w:val="00F21573"/>
    <w:rsid w:val="00F22057"/>
    <w:rsid w:val="00F22285"/>
    <w:rsid w:val="00F22EF4"/>
    <w:rsid w:val="00F23CCD"/>
    <w:rsid w:val="00F257A9"/>
    <w:rsid w:val="00F25C11"/>
    <w:rsid w:val="00F312FC"/>
    <w:rsid w:val="00F32C46"/>
    <w:rsid w:val="00F334EF"/>
    <w:rsid w:val="00F34987"/>
    <w:rsid w:val="00F350D0"/>
    <w:rsid w:val="00F373B8"/>
    <w:rsid w:val="00F37882"/>
    <w:rsid w:val="00F378E4"/>
    <w:rsid w:val="00F416F9"/>
    <w:rsid w:val="00F41BD8"/>
    <w:rsid w:val="00F45077"/>
    <w:rsid w:val="00F4571C"/>
    <w:rsid w:val="00F506EA"/>
    <w:rsid w:val="00F50BDB"/>
    <w:rsid w:val="00F553D7"/>
    <w:rsid w:val="00F56FB3"/>
    <w:rsid w:val="00F576E2"/>
    <w:rsid w:val="00F60B2C"/>
    <w:rsid w:val="00F61989"/>
    <w:rsid w:val="00F625E9"/>
    <w:rsid w:val="00F63A8C"/>
    <w:rsid w:val="00F64B97"/>
    <w:rsid w:val="00F66237"/>
    <w:rsid w:val="00F662AA"/>
    <w:rsid w:val="00F66612"/>
    <w:rsid w:val="00F6720C"/>
    <w:rsid w:val="00F67B67"/>
    <w:rsid w:val="00F7016D"/>
    <w:rsid w:val="00F71CE2"/>
    <w:rsid w:val="00F73E45"/>
    <w:rsid w:val="00F74DE8"/>
    <w:rsid w:val="00F75196"/>
    <w:rsid w:val="00F8155F"/>
    <w:rsid w:val="00F828E8"/>
    <w:rsid w:val="00F83BF3"/>
    <w:rsid w:val="00F8559C"/>
    <w:rsid w:val="00FA138D"/>
    <w:rsid w:val="00FA21F9"/>
    <w:rsid w:val="00FA2F58"/>
    <w:rsid w:val="00FA58FA"/>
    <w:rsid w:val="00FA6794"/>
    <w:rsid w:val="00FA6BDA"/>
    <w:rsid w:val="00FA6F2D"/>
    <w:rsid w:val="00FC179D"/>
    <w:rsid w:val="00FC393C"/>
    <w:rsid w:val="00FC4134"/>
    <w:rsid w:val="00FC451E"/>
    <w:rsid w:val="00FC4E84"/>
    <w:rsid w:val="00FC6D81"/>
    <w:rsid w:val="00FD1657"/>
    <w:rsid w:val="00FD1798"/>
    <w:rsid w:val="00FD4CB7"/>
    <w:rsid w:val="00FD61D6"/>
    <w:rsid w:val="00FD7B91"/>
    <w:rsid w:val="00FE03BE"/>
    <w:rsid w:val="00FE2678"/>
    <w:rsid w:val="00FF2B3D"/>
    <w:rsid w:val="00FF46DE"/>
    <w:rsid w:val="00FF5525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DAC89B2"/>
  <w15:docId w15:val="{3A2953F8-67FE-4E1A-8D2C-2BD7939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0B41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lang w:eastAsia="en-US"/>
    </w:rPr>
  </w:style>
  <w:style w:type="paragraph" w:styleId="Cabealho1">
    <w:name w:val="heading 1"/>
    <w:aliases w:val="01_TITULO,Nivel 1"/>
    <w:basedOn w:val="Normal"/>
    <w:next w:val="Normal"/>
    <w:link w:val="Cabealho1Carter"/>
    <w:qFormat/>
    <w:rsid w:val="00B756A8"/>
    <w:pPr>
      <w:keepNext/>
      <w:keepLines/>
      <w:spacing w:before="360" w:after="120"/>
      <w:outlineLvl w:val="0"/>
    </w:pPr>
    <w:rPr>
      <w:rFonts w:eastAsiaTheme="majorEastAsia" w:cstheme="majorBidi"/>
      <w:b/>
      <w:color w:val="244061" w:themeColor="accent1" w:themeShade="80"/>
      <w:sz w:val="24"/>
      <w:szCs w:val="32"/>
    </w:rPr>
  </w:style>
  <w:style w:type="paragraph" w:styleId="Cabealho2">
    <w:name w:val="heading 2"/>
    <w:aliases w:val="02_Capitulo_seccao,Nivel 2"/>
    <w:basedOn w:val="Normal"/>
    <w:next w:val="Normal"/>
    <w:link w:val="Cabealho2Carter"/>
    <w:qFormat/>
    <w:rsid w:val="00B756A8"/>
    <w:pPr>
      <w:keepNext/>
      <w:keepLines/>
      <w:spacing w:before="360" w:after="120"/>
      <w:outlineLvl w:val="1"/>
    </w:pPr>
    <w:rPr>
      <w:rFonts w:eastAsiaTheme="majorEastAsia" w:cstheme="majorBidi"/>
      <w:b/>
      <w:color w:val="365F91" w:themeColor="accent1" w:themeShade="BF"/>
      <w:sz w:val="22"/>
      <w:szCs w:val="26"/>
    </w:rPr>
  </w:style>
  <w:style w:type="paragraph" w:styleId="Cabealho3">
    <w:name w:val="heading 3"/>
    <w:basedOn w:val="Normal"/>
    <w:next w:val="Normal"/>
    <w:link w:val="Cabealho3Carter"/>
    <w:rsid w:val="008116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pPr>
      <w:keepNext/>
      <w:spacing w:before="120" w:after="120"/>
      <w:jc w:val="center"/>
      <w:outlineLvl w:val="0"/>
    </w:pPr>
    <w:rPr>
      <w:rFonts w:ascii="Arial" w:hAnsi="Arial"/>
      <w:b/>
      <w:smallCaps/>
      <w:sz w:val="36"/>
    </w:rPr>
  </w:style>
  <w:style w:type="paragraph" w:customStyle="1" w:styleId="Ttulo21">
    <w:name w:val="Título 21"/>
    <w:basedOn w:val="Normal"/>
    <w:next w:val="Normal"/>
    <w:pPr>
      <w:keepNext/>
      <w:spacing w:before="60" w:after="60"/>
      <w:jc w:val="both"/>
      <w:outlineLvl w:val="1"/>
    </w:pPr>
    <w:rPr>
      <w:rFonts w:ascii="Tahoma" w:hAnsi="Tahoma" w:cs="Tahoma"/>
      <w:sz w:val="24"/>
    </w:rPr>
  </w:style>
  <w:style w:type="paragraph" w:customStyle="1" w:styleId="Ttulo31">
    <w:name w:val="Título 31"/>
    <w:basedOn w:val="Normal"/>
    <w:next w:val="Normal"/>
    <w:pPr>
      <w:keepNext/>
      <w:spacing w:before="60"/>
      <w:outlineLvl w:val="2"/>
    </w:pPr>
    <w:rPr>
      <w:rFonts w:ascii="Albertus Medium" w:hAnsi="Albertus Medium"/>
      <w:b/>
    </w:rPr>
  </w:style>
  <w:style w:type="paragraph" w:customStyle="1" w:styleId="Ttulo41">
    <w:name w:val="Título 41"/>
    <w:basedOn w:val="Normal"/>
    <w:next w:val="Normal"/>
    <w:pPr>
      <w:keepNext/>
      <w:spacing w:before="60" w:after="60"/>
      <w:outlineLvl w:val="3"/>
    </w:pPr>
    <w:rPr>
      <w:rFonts w:ascii="Arial" w:hAnsi="Arial"/>
      <w:b/>
      <w:caps/>
    </w:rPr>
  </w:style>
  <w:style w:type="paragraph" w:customStyle="1" w:styleId="Ttulo51">
    <w:name w:val="Título 51"/>
    <w:basedOn w:val="Normal"/>
    <w:next w:val="Normal"/>
    <w:pPr>
      <w:keepNext/>
      <w:jc w:val="both"/>
      <w:outlineLvl w:val="4"/>
    </w:pPr>
    <w:rPr>
      <w:rFonts w:ascii="ProseAntique" w:hAnsi="ProseAntique"/>
      <w:sz w:val="22"/>
      <w:u w:val="single"/>
    </w:rPr>
  </w:style>
  <w:style w:type="paragraph" w:customStyle="1" w:styleId="Ttulo61">
    <w:name w:val="Título 61"/>
    <w:basedOn w:val="Normal"/>
    <w:next w:val="Normal"/>
    <w:pPr>
      <w:keepNext/>
      <w:numPr>
        <w:numId w:val="1"/>
      </w:numPr>
      <w:tabs>
        <w:tab w:val="clear" w:pos="1080"/>
        <w:tab w:val="num" w:pos="400"/>
      </w:tabs>
      <w:ind w:hanging="1080"/>
      <w:jc w:val="both"/>
      <w:outlineLvl w:val="5"/>
    </w:pPr>
    <w:rPr>
      <w:rFonts w:ascii="ProseAntique" w:hAnsi="ProseAntique"/>
      <w:b/>
      <w:sz w:val="22"/>
      <w:u w:val="single"/>
    </w:rPr>
  </w:style>
  <w:style w:type="paragraph" w:styleId="Rodap">
    <w:name w:val="footer"/>
    <w:aliases w:val=" Carácter"/>
    <w:basedOn w:val="Normal"/>
    <w:link w:val="RodapCarter"/>
    <w:uiPriority w:val="99"/>
    <w:pPr>
      <w:tabs>
        <w:tab w:val="center" w:pos="4819"/>
        <w:tab w:val="right" w:pos="9071"/>
      </w:tabs>
    </w:pPr>
  </w:style>
  <w:style w:type="paragraph" w:customStyle="1" w:styleId="ci-texto">
    <w:name w:val="ci-texto"/>
    <w:basedOn w:val="Normal"/>
    <w:pPr>
      <w:pBdr>
        <w:left w:val="single" w:sz="6" w:space="3" w:color="auto"/>
        <w:right w:val="single" w:sz="6" w:space="3" w:color="auto"/>
      </w:pBdr>
      <w:spacing w:before="240"/>
      <w:ind w:left="426" w:right="113" w:hanging="426"/>
      <w:jc w:val="both"/>
    </w:pPr>
    <w:rPr>
      <w:rFonts w:ascii="Technical" w:hAnsi="Technical"/>
      <w:sz w:val="26"/>
    </w:rPr>
  </w:style>
  <w:style w:type="paragraph" w:customStyle="1" w:styleId="MemoTexto">
    <w:name w:val="MemoTexto"/>
    <w:basedOn w:val="Normal"/>
    <w:pPr>
      <w:keepLines/>
      <w:spacing w:before="120"/>
      <w:ind w:left="284" w:hanging="284"/>
      <w:jc w:val="both"/>
    </w:pPr>
    <w:rPr>
      <w:rFonts w:ascii="Memorandum" w:hAnsi="Memorandum"/>
      <w:sz w:val="22"/>
    </w:rPr>
  </w:style>
  <w:style w:type="paragraph" w:customStyle="1" w:styleId="MemoCab">
    <w:name w:val="MemoCab"/>
    <w:basedOn w:val="Normal"/>
    <w:pPr>
      <w:keepLines/>
      <w:tabs>
        <w:tab w:val="left" w:pos="2552"/>
      </w:tabs>
      <w:spacing w:before="160"/>
      <w:ind w:left="2552" w:hanging="1418"/>
      <w:jc w:val="both"/>
    </w:pPr>
    <w:rPr>
      <w:rFonts w:ascii="Arial" w:hAnsi="Arial"/>
    </w:rPr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before="60" w:after="60"/>
      <w:jc w:val="both"/>
    </w:pPr>
    <w:rPr>
      <w:rFonts w:ascii="Tahoma" w:hAnsi="Tahoma" w:cs="Tahoma"/>
      <w:sz w:val="26"/>
    </w:rPr>
  </w:style>
  <w:style w:type="paragraph" w:customStyle="1" w:styleId="Texto">
    <w:name w:val="Texto"/>
    <w:basedOn w:val="Normal"/>
    <w:pPr>
      <w:spacing w:before="120" w:after="120"/>
      <w:ind w:firstLine="1985"/>
      <w:jc w:val="both"/>
    </w:pPr>
    <w:rPr>
      <w:rFonts w:ascii="Times New Roman" w:hAnsi="Times New Roman"/>
      <w:sz w:val="24"/>
    </w:rPr>
  </w:style>
  <w:style w:type="paragraph" w:styleId="Avanodecorpodetexto">
    <w:name w:val="Body Text Indent"/>
    <w:basedOn w:val="Normal"/>
    <w:pPr>
      <w:ind w:left="800" w:hanging="800"/>
      <w:jc w:val="both"/>
    </w:pPr>
    <w:rPr>
      <w:rFonts w:ascii="ProseAntique" w:hAnsi="ProseAntique"/>
      <w:b/>
      <w:bCs/>
      <w:sz w:val="22"/>
    </w:rPr>
  </w:style>
  <w:style w:type="paragraph" w:styleId="Avanodecorpodetexto2">
    <w:name w:val="Body Text Indent 2"/>
    <w:basedOn w:val="Normal"/>
    <w:pPr>
      <w:ind w:left="300"/>
      <w:jc w:val="both"/>
    </w:pPr>
    <w:rPr>
      <w:rFonts w:ascii="ProseAntique" w:hAnsi="ProseAntique"/>
      <w:b/>
      <w:bCs/>
      <w:sz w:val="22"/>
    </w:rPr>
  </w:style>
  <w:style w:type="table" w:styleId="Tabelacomgrelha">
    <w:name w:val="Table Grid"/>
    <w:basedOn w:val="Tabelanormal"/>
    <w:rsid w:val="004906E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36294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rsid w:val="008E7258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4"/>
      <w:szCs w:val="24"/>
      <w:u w:val="single"/>
    </w:rPr>
  </w:style>
  <w:style w:type="character" w:styleId="Hiperligao">
    <w:name w:val="Hyperlink"/>
    <w:uiPriority w:val="99"/>
    <w:rsid w:val="00575384"/>
    <w:rPr>
      <w:color w:val="0000FF"/>
      <w:u w:val="single"/>
    </w:rPr>
  </w:style>
  <w:style w:type="paragraph" w:styleId="Corpodetexto3">
    <w:name w:val="Body Text 3"/>
    <w:basedOn w:val="Normal"/>
    <w:rsid w:val="00FA6F2D"/>
    <w:pPr>
      <w:spacing w:after="120"/>
    </w:pPr>
    <w:rPr>
      <w:sz w:val="16"/>
      <w:szCs w:val="16"/>
    </w:rPr>
  </w:style>
  <w:style w:type="character" w:customStyle="1" w:styleId="RodapCarter">
    <w:name w:val="Rodapé Caráter"/>
    <w:aliases w:val=" Carácter Caráter"/>
    <w:link w:val="Rodap"/>
    <w:uiPriority w:val="99"/>
    <w:locked/>
    <w:rsid w:val="009D065C"/>
    <w:rPr>
      <w:rFonts w:ascii="Tms Rmn" w:hAnsi="Tms Rmn"/>
      <w:lang w:val="pt-PT" w:eastAsia="en-US" w:bidi="ar-SA"/>
    </w:rPr>
  </w:style>
  <w:style w:type="character" w:customStyle="1" w:styleId="CabealhoCarter">
    <w:name w:val="Cabeçalho Caráter"/>
    <w:link w:val="Cabealho"/>
    <w:uiPriority w:val="99"/>
    <w:rsid w:val="00B9363D"/>
    <w:rPr>
      <w:lang w:eastAsia="en-US"/>
    </w:rPr>
  </w:style>
  <w:style w:type="paragraph" w:styleId="Corpodetexto2">
    <w:name w:val="Body Text 2"/>
    <w:basedOn w:val="Normal"/>
    <w:link w:val="Corpodetexto2Carter"/>
    <w:rsid w:val="00252EF0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252EF0"/>
    <w:rPr>
      <w:lang w:eastAsia="en-US"/>
    </w:rPr>
  </w:style>
  <w:style w:type="paragraph" w:styleId="ndice1">
    <w:name w:val="toc 1"/>
    <w:basedOn w:val="Normal"/>
    <w:next w:val="Normal"/>
    <w:link w:val="ndice1Carter"/>
    <w:autoRedefine/>
    <w:uiPriority w:val="39"/>
    <w:unhideWhenUsed/>
    <w:rsid w:val="00373C5E"/>
    <w:pPr>
      <w:tabs>
        <w:tab w:val="left" w:pos="709"/>
        <w:tab w:val="right" w:leader="dot" w:pos="9213"/>
      </w:tabs>
      <w:overflowPunct/>
      <w:autoSpaceDE/>
      <w:autoSpaceDN/>
      <w:adjustRightInd/>
      <w:jc w:val="both"/>
      <w:textAlignment w:val="auto"/>
    </w:pPr>
    <w:rPr>
      <w:rFonts w:cs="Tahoma"/>
      <w:b/>
      <w:caps/>
      <w:color w:val="002060"/>
      <w:sz w:val="22"/>
      <w:szCs w:val="22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43710"/>
    <w:pPr>
      <w:overflowPunct/>
      <w:autoSpaceDE/>
      <w:autoSpaceDN/>
      <w:adjustRightInd/>
      <w:textAlignment w:val="auto"/>
    </w:pPr>
    <w:rPr>
      <w:rFonts w:ascii="Times New Roman" w:eastAsia="Calibri" w:hAnsi="Times New Roman"/>
      <w:lang w:eastAsia="pt-PT"/>
    </w:rPr>
  </w:style>
  <w:style w:type="character" w:customStyle="1" w:styleId="TextodenotaderodapCarter">
    <w:name w:val="Texto de nota de rodapé Caráter"/>
    <w:link w:val="Textodenotaderodap"/>
    <w:uiPriority w:val="99"/>
    <w:rsid w:val="00543710"/>
    <w:rPr>
      <w:rFonts w:ascii="Times New Roman" w:eastAsia="Calibri" w:hAnsi="Times New Roman"/>
    </w:rPr>
  </w:style>
  <w:style w:type="character" w:styleId="Refdenotaderodap">
    <w:name w:val="footnote reference"/>
    <w:uiPriority w:val="99"/>
    <w:unhideWhenUsed/>
    <w:rsid w:val="00543710"/>
    <w:rPr>
      <w:rFonts w:ascii="Times New Roman" w:hAnsi="Times New Roman" w:cs="Times New Roman" w:hint="default"/>
      <w:vertAlign w:val="superscript"/>
    </w:rPr>
  </w:style>
  <w:style w:type="paragraph" w:customStyle="1" w:styleId="artigo">
    <w:name w:val="artigo"/>
    <w:basedOn w:val="Ttulo31"/>
    <w:rsid w:val="001A4786"/>
    <w:pPr>
      <w:spacing w:before="240" w:after="120"/>
      <w:jc w:val="center"/>
    </w:pPr>
    <w:rPr>
      <w:rFonts w:ascii="Times New Roman" w:hAnsi="Times New Roman"/>
      <w:bCs/>
      <w:sz w:val="24"/>
    </w:rPr>
  </w:style>
  <w:style w:type="character" w:styleId="TextodoMarcadordePosio">
    <w:name w:val="Placeholder Text"/>
    <w:uiPriority w:val="99"/>
    <w:semiHidden/>
    <w:rsid w:val="001A4786"/>
    <w:rPr>
      <w:color w:val="808080"/>
    </w:rPr>
  </w:style>
  <w:style w:type="paragraph" w:customStyle="1" w:styleId="Default">
    <w:name w:val="Default"/>
    <w:rsid w:val="00DD487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D60B41"/>
    <w:pPr>
      <w:ind w:left="720"/>
      <w:contextualSpacing/>
    </w:pPr>
  </w:style>
  <w:style w:type="paragraph" w:styleId="SemEspaamento">
    <w:name w:val="No Spacing"/>
    <w:link w:val="SemEspaamentoCarter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Cabealho1Carter">
    <w:name w:val="Cabeçalho 1 Caráter"/>
    <w:aliases w:val="01_TITULO Caráter,Nivel 1 Caráter"/>
    <w:basedOn w:val="Tipodeletrapredefinidodopargrafo"/>
    <w:link w:val="Cabealho1"/>
    <w:rsid w:val="00B756A8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paragraph" w:styleId="Cabealhodondice">
    <w:name w:val="TOC Heading"/>
    <w:basedOn w:val="Cabealho1"/>
    <w:next w:val="Normal"/>
    <w:link w:val="CabealhodondiceCarter"/>
    <w:uiPriority w:val="39"/>
    <w:unhideWhenUsed/>
    <w:rsid w:val="00565A7A"/>
    <w:pPr>
      <w:overflowPunct/>
      <w:autoSpaceDE/>
      <w:autoSpaceDN/>
      <w:adjustRightInd/>
      <w:spacing w:line="259" w:lineRule="auto"/>
      <w:textAlignment w:val="auto"/>
      <w:outlineLvl w:val="9"/>
    </w:pPr>
    <w:rPr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373C5E"/>
    <w:pPr>
      <w:spacing w:line="276" w:lineRule="auto"/>
      <w:ind w:left="403"/>
    </w:pPr>
    <w:rPr>
      <w:color w:val="17365D" w:themeColor="text2" w:themeShade="BF"/>
    </w:rPr>
  </w:style>
  <w:style w:type="paragraph" w:styleId="ndice2">
    <w:name w:val="toc 2"/>
    <w:basedOn w:val="Normal"/>
    <w:next w:val="Normal"/>
    <w:autoRedefine/>
    <w:uiPriority w:val="39"/>
    <w:unhideWhenUsed/>
    <w:rsid w:val="008407CB"/>
    <w:pPr>
      <w:tabs>
        <w:tab w:val="right" w:leader="dot" w:pos="9203"/>
      </w:tabs>
      <w:overflowPunct/>
      <w:autoSpaceDE/>
      <w:autoSpaceDN/>
      <w:adjustRightInd/>
      <w:ind w:left="221"/>
      <w:textAlignment w:val="auto"/>
    </w:pPr>
    <w:rPr>
      <w:rFonts w:ascii="Open Sans" w:eastAsiaTheme="minorEastAsia" w:hAnsi="Open Sans" w:cs="Open Sans"/>
      <w:b/>
      <w:noProof/>
      <w:color w:val="17365D" w:themeColor="text2" w:themeShade="BF"/>
      <w:sz w:val="22"/>
      <w:szCs w:val="22"/>
      <w:lang w:eastAsia="pt-PT"/>
    </w:rPr>
  </w:style>
  <w:style w:type="paragraph" w:customStyle="1" w:styleId="DOB">
    <w:name w:val="DOB"/>
    <w:basedOn w:val="ndice1"/>
    <w:link w:val="DOBCarter"/>
    <w:rsid w:val="00EB13EC"/>
    <w:pPr>
      <w:spacing w:line="360" w:lineRule="auto"/>
      <w:ind w:left="284" w:right="6" w:hanging="426"/>
      <w:jc w:val="left"/>
    </w:pPr>
    <w:rPr>
      <w:b w:val="0"/>
      <w:noProof/>
      <w:color w:val="595959" w:themeColor="text1" w:themeTint="A6"/>
    </w:rPr>
  </w:style>
  <w:style w:type="character" w:customStyle="1" w:styleId="ndice1Carter">
    <w:name w:val="Índice 1 Caráter"/>
    <w:basedOn w:val="Tipodeletrapredefinidodopargrafo"/>
    <w:link w:val="ndice1"/>
    <w:uiPriority w:val="39"/>
    <w:rsid w:val="00373C5E"/>
    <w:rPr>
      <w:rFonts w:ascii="Trebuchet MS" w:hAnsi="Trebuchet MS" w:cs="Tahoma"/>
      <w:b/>
      <w:caps/>
      <w:color w:val="002060"/>
      <w:sz w:val="22"/>
      <w:szCs w:val="22"/>
    </w:rPr>
  </w:style>
  <w:style w:type="character" w:customStyle="1" w:styleId="DOBCarter">
    <w:name w:val="DOB Caráter"/>
    <w:basedOn w:val="ndice1Carter"/>
    <w:link w:val="DOB"/>
    <w:rsid w:val="00EB13EC"/>
    <w:rPr>
      <w:rFonts w:ascii="Trebuchet MS" w:hAnsi="Trebuchet MS" w:cs="Tahoma"/>
      <w:b w:val="0"/>
      <w:caps/>
      <w:noProof/>
      <w:color w:val="595959" w:themeColor="text1" w:themeTint="A6"/>
      <w:sz w:val="22"/>
      <w:szCs w:val="22"/>
    </w:rPr>
  </w:style>
  <w:style w:type="character" w:customStyle="1" w:styleId="Estilo1">
    <w:name w:val="Estilo1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2">
    <w:name w:val="Estilo2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3">
    <w:name w:val="Estilo3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4">
    <w:name w:val="Estilo4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5">
    <w:name w:val="Estilo5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6">
    <w:name w:val="Estilo6"/>
    <w:basedOn w:val="Tipodeletrapredefinidodopargrafo"/>
    <w:uiPriority w:val="1"/>
    <w:rsid w:val="00C52407"/>
    <w:rPr>
      <w:rFonts w:ascii="Trebuchet MS" w:hAnsi="Trebuchet MS"/>
      <w:sz w:val="20"/>
    </w:rPr>
  </w:style>
  <w:style w:type="character" w:customStyle="1" w:styleId="Estilo7">
    <w:name w:val="Estilo7"/>
    <w:basedOn w:val="Tipodeletrapredefinidodopargrafo"/>
    <w:uiPriority w:val="1"/>
    <w:rsid w:val="001210D1"/>
    <w:rPr>
      <w:rFonts w:ascii="Trebuchet MS" w:hAnsi="Trebuchet MS"/>
      <w:sz w:val="20"/>
    </w:rPr>
  </w:style>
  <w:style w:type="character" w:customStyle="1" w:styleId="Estilo8">
    <w:name w:val="Estilo8"/>
    <w:basedOn w:val="Tipodeletrapredefinidodopargrafo"/>
    <w:uiPriority w:val="1"/>
    <w:rsid w:val="00A33A09"/>
    <w:rPr>
      <w:rFonts w:ascii="Trebuchet MS" w:hAnsi="Trebuchet MS"/>
      <w:sz w:val="20"/>
    </w:rPr>
  </w:style>
  <w:style w:type="character" w:customStyle="1" w:styleId="Estilo9">
    <w:name w:val="Estilo9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0">
    <w:name w:val="Estilo10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1">
    <w:name w:val="Estilo11"/>
    <w:basedOn w:val="Tipodeletrapredefinidodopargrafo"/>
    <w:uiPriority w:val="1"/>
    <w:rsid w:val="007E44C1"/>
    <w:rPr>
      <w:sz w:val="20"/>
    </w:rPr>
  </w:style>
  <w:style w:type="character" w:customStyle="1" w:styleId="Estilo12">
    <w:name w:val="Estilo12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3">
    <w:name w:val="Estilo13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4">
    <w:name w:val="Estilo14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Cabealho3Carter">
    <w:name w:val="Cabeçalho 3 Caráter"/>
    <w:basedOn w:val="Tipodeletrapredefinidodopargrafo"/>
    <w:link w:val="Cabealho3"/>
    <w:rsid w:val="008116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D47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 w:val="24"/>
      <w:szCs w:val="24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DC0062"/>
    <w:rPr>
      <w:color w:val="605E5C"/>
      <w:shd w:val="clear" w:color="auto" w:fill="E1DFDD"/>
    </w:rPr>
  </w:style>
  <w:style w:type="paragraph" w:customStyle="1" w:styleId="Estilo15">
    <w:name w:val="Estilo15"/>
    <w:basedOn w:val="ndice1"/>
    <w:link w:val="Estilo15Carter"/>
    <w:rsid w:val="001B32E4"/>
    <w:rPr>
      <w:rFonts w:ascii="Open Sans" w:hAnsi="Open Sans" w:cs="Open Sans"/>
      <w:bCs/>
      <w:caps w:val="0"/>
      <w:color w:val="595959" w:themeColor="text1" w:themeTint="A6"/>
      <w:sz w:val="18"/>
      <w:szCs w:val="18"/>
    </w:rPr>
  </w:style>
  <w:style w:type="character" w:customStyle="1" w:styleId="Estilo15Carter">
    <w:name w:val="Estilo15 Caráter"/>
    <w:basedOn w:val="ndice1Carter"/>
    <w:link w:val="Estilo15"/>
    <w:rsid w:val="001B32E4"/>
    <w:rPr>
      <w:rFonts w:ascii="Open Sans" w:hAnsi="Open Sans" w:cs="Open Sans"/>
      <w:b/>
      <w:bCs/>
      <w:caps w:val="0"/>
      <w:color w:val="595959" w:themeColor="text1" w:themeTint="A6"/>
      <w:sz w:val="18"/>
      <w:szCs w:val="18"/>
    </w:rPr>
  </w:style>
  <w:style w:type="character" w:customStyle="1" w:styleId="Cabealho2Carter">
    <w:name w:val="Cabeçalho 2 Caráter"/>
    <w:aliases w:val="02_Capitulo_seccao Caráter,Nivel 2 Caráter"/>
    <w:basedOn w:val="Tipodeletrapredefinidodopargrafo"/>
    <w:link w:val="Cabealho2"/>
    <w:rsid w:val="00B756A8"/>
    <w:rPr>
      <w:rFonts w:ascii="Trebuchet MS" w:eastAsiaTheme="majorEastAsia" w:hAnsi="Trebuchet MS" w:cstheme="majorBidi"/>
      <w:b/>
      <w:color w:val="365F91" w:themeColor="accent1" w:themeShade="BF"/>
      <w:sz w:val="22"/>
      <w:szCs w:val="26"/>
      <w:lang w:eastAsia="en-US"/>
    </w:rPr>
  </w:style>
  <w:style w:type="paragraph" w:customStyle="1" w:styleId="04Numerado1">
    <w:name w:val="04_Numerado_1"/>
    <w:basedOn w:val="PargrafodaLista"/>
    <w:link w:val="04Numerado1Carter"/>
    <w:qFormat/>
    <w:rsid w:val="004D7C7F"/>
    <w:pPr>
      <w:numPr>
        <w:numId w:val="3"/>
      </w:numPr>
      <w:suppressAutoHyphens/>
      <w:overflowPunct/>
      <w:autoSpaceDE/>
      <w:autoSpaceDN/>
      <w:adjustRightInd/>
      <w:spacing w:before="120" w:after="120" w:line="276" w:lineRule="auto"/>
      <w:contextualSpacing w:val="0"/>
      <w:jc w:val="both"/>
      <w:textAlignment w:val="auto"/>
    </w:pPr>
    <w:rPr>
      <w:rFonts w:cs="Open Sans"/>
    </w:rPr>
  </w:style>
  <w:style w:type="paragraph" w:customStyle="1" w:styleId="06Textonaonumerado">
    <w:name w:val="06_Texto nao numerado"/>
    <w:basedOn w:val="PargrafodaLista"/>
    <w:link w:val="06TextonaonumeradoCarter"/>
    <w:qFormat/>
    <w:rsid w:val="004D7C7F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D60B41"/>
    <w:rPr>
      <w:rFonts w:ascii="Trebuchet MS" w:hAnsi="Trebuchet MS"/>
      <w:lang w:eastAsia="en-US"/>
    </w:rPr>
  </w:style>
  <w:style w:type="character" w:customStyle="1" w:styleId="04Numerado1Carter">
    <w:name w:val="04_Numerado_1 Caráter"/>
    <w:basedOn w:val="PargrafodaListaCarter"/>
    <w:link w:val="04Numerado1"/>
    <w:rsid w:val="004D7C7F"/>
    <w:rPr>
      <w:rFonts w:ascii="Trebuchet MS" w:hAnsi="Trebuchet MS" w:cs="Open Sans"/>
      <w:lang w:eastAsia="en-US"/>
    </w:rPr>
  </w:style>
  <w:style w:type="paragraph" w:customStyle="1" w:styleId="05Numerado2">
    <w:name w:val="05_Numerado 2"/>
    <w:basedOn w:val="04Numerado1"/>
    <w:link w:val="05Numerado2Carter"/>
    <w:qFormat/>
    <w:rsid w:val="00E70476"/>
    <w:pPr>
      <w:numPr>
        <w:numId w:val="2"/>
      </w:numPr>
    </w:pPr>
    <w:rPr>
      <w:bCs/>
    </w:rPr>
  </w:style>
  <w:style w:type="character" w:customStyle="1" w:styleId="06TextonaonumeradoCarter">
    <w:name w:val="06_Texto nao numerado Caráter"/>
    <w:basedOn w:val="PargrafodaListaCarter"/>
    <w:link w:val="06Textonaonumerado"/>
    <w:rsid w:val="004D7C7F"/>
    <w:rPr>
      <w:rFonts w:ascii="Trebuchet MS" w:hAnsi="Trebuchet MS" w:cs="Open Sans"/>
      <w:lang w:eastAsia="en-US"/>
    </w:rPr>
  </w:style>
  <w:style w:type="paragraph" w:customStyle="1" w:styleId="Nivel3">
    <w:name w:val="Nivel 3"/>
    <w:basedOn w:val="Normal"/>
    <w:next w:val="Normal"/>
    <w:link w:val="Nivel3Carter"/>
    <w:rsid w:val="00CF536F"/>
    <w:rPr>
      <w:b/>
      <w:color w:val="365F91" w:themeColor="accent1" w:themeShade="BF"/>
      <w:sz w:val="22"/>
    </w:rPr>
  </w:style>
  <w:style w:type="character" w:customStyle="1" w:styleId="05Numerado2Carter">
    <w:name w:val="05_Numerado 2 Caráter"/>
    <w:basedOn w:val="04Numerado1Carter"/>
    <w:link w:val="05Numerado2"/>
    <w:rsid w:val="00E70476"/>
    <w:rPr>
      <w:rFonts w:ascii="Trebuchet MS" w:hAnsi="Trebuchet MS" w:cs="Open Sans"/>
      <w:bCs/>
      <w:lang w:eastAsia="en-US"/>
    </w:rPr>
  </w:style>
  <w:style w:type="character" w:customStyle="1" w:styleId="CabealhodondiceCarter">
    <w:name w:val="Cabeçalho do Índice Caráter"/>
    <w:basedOn w:val="Cabealho1Carter"/>
    <w:link w:val="Cabealhodondice"/>
    <w:uiPriority w:val="39"/>
    <w:rsid w:val="00682ACA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character" w:customStyle="1" w:styleId="Nivel3Carter">
    <w:name w:val="Nivel 3 Caráter"/>
    <w:basedOn w:val="CabealhodondiceCarter"/>
    <w:link w:val="Nivel3"/>
    <w:rsid w:val="00CF536F"/>
    <w:rPr>
      <w:rFonts w:ascii="Trebuchet MS" w:eastAsiaTheme="majorEastAsia" w:hAnsi="Trebuchet MS" w:cstheme="majorBidi"/>
      <w:b/>
      <w:color w:val="365F91" w:themeColor="accent1" w:themeShade="BF"/>
      <w:sz w:val="22"/>
      <w:szCs w:val="32"/>
      <w:lang w:eastAsia="en-US"/>
    </w:rPr>
  </w:style>
  <w:style w:type="paragraph" w:customStyle="1" w:styleId="03Artigo">
    <w:name w:val="03_Artigo"/>
    <w:basedOn w:val="Cabealho3"/>
    <w:link w:val="03ArtigoCarter"/>
    <w:qFormat/>
    <w:rsid w:val="00BA7826"/>
    <w:pPr>
      <w:spacing w:before="360" w:after="120"/>
    </w:pPr>
    <w:rPr>
      <w:rFonts w:ascii="Trebuchet MS" w:hAnsi="Trebuchet MS"/>
      <w:b/>
      <w:color w:val="365F91" w:themeColor="accent1" w:themeShade="BF"/>
      <w:sz w:val="22"/>
    </w:rPr>
  </w:style>
  <w:style w:type="character" w:customStyle="1" w:styleId="03ArtigoCarter">
    <w:name w:val="03_Artigo Caráter"/>
    <w:basedOn w:val="Cabealho3Carter"/>
    <w:link w:val="03Artigo"/>
    <w:rsid w:val="00BA7826"/>
    <w:rPr>
      <w:rFonts w:ascii="Trebuchet MS" w:eastAsiaTheme="majorEastAsia" w:hAnsi="Trebuchet MS" w:cstheme="majorBidi"/>
      <w:b/>
      <w:color w:val="365F91" w:themeColor="accent1" w:themeShade="BF"/>
      <w:sz w:val="22"/>
      <w:szCs w:val="24"/>
      <w:lang w:eastAsia="en-US"/>
    </w:rPr>
  </w:style>
  <w:style w:type="paragraph" w:customStyle="1" w:styleId="Numerado1">
    <w:name w:val="Numerado_1"/>
    <w:basedOn w:val="PargrafodaLista"/>
    <w:link w:val="Numerado1Carter"/>
    <w:rsid w:val="00211A67"/>
    <w:pPr>
      <w:suppressAutoHyphens/>
      <w:overflowPunct/>
      <w:autoSpaceDE/>
      <w:autoSpaceDN/>
      <w:adjustRightInd/>
      <w:spacing w:before="120" w:after="120" w:line="276" w:lineRule="auto"/>
      <w:ind w:left="360" w:hanging="360"/>
      <w:contextualSpacing w:val="0"/>
      <w:jc w:val="both"/>
      <w:textAlignment w:val="auto"/>
    </w:pPr>
    <w:rPr>
      <w:rFonts w:cs="Open Sans"/>
    </w:rPr>
  </w:style>
  <w:style w:type="paragraph" w:customStyle="1" w:styleId="Textonaonumerado">
    <w:name w:val="Texto nao numerado"/>
    <w:basedOn w:val="PargrafodaLista"/>
    <w:link w:val="TextonaonumeradoCarter"/>
    <w:rsid w:val="00211A67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Numerado1Carter">
    <w:name w:val="Numerado_1 Caráter"/>
    <w:basedOn w:val="PargrafodaListaCarter"/>
    <w:link w:val="Numerado1"/>
    <w:rsid w:val="00211A67"/>
    <w:rPr>
      <w:rFonts w:ascii="Trebuchet MS" w:hAnsi="Trebuchet MS" w:cs="Open Sans"/>
      <w:lang w:eastAsia="en-US"/>
    </w:rPr>
  </w:style>
  <w:style w:type="paragraph" w:customStyle="1" w:styleId="Numerado2">
    <w:name w:val="Numerado 2"/>
    <w:basedOn w:val="Numerado1"/>
    <w:link w:val="Numerado2Carter"/>
    <w:rsid w:val="00211A67"/>
    <w:pPr>
      <w:ind w:left="1077"/>
    </w:pPr>
    <w:rPr>
      <w:bCs/>
    </w:rPr>
  </w:style>
  <w:style w:type="character" w:customStyle="1" w:styleId="TextonaonumeradoCarter">
    <w:name w:val="Texto nao numerado Caráter"/>
    <w:basedOn w:val="PargrafodaListaCarter"/>
    <w:link w:val="Textonaonumerado"/>
    <w:rsid w:val="00211A67"/>
    <w:rPr>
      <w:rFonts w:ascii="Trebuchet MS" w:hAnsi="Trebuchet MS" w:cs="Open Sans"/>
      <w:lang w:eastAsia="en-US"/>
    </w:rPr>
  </w:style>
  <w:style w:type="character" w:customStyle="1" w:styleId="Numerado2Carter">
    <w:name w:val="Numerado 2 Caráter"/>
    <w:basedOn w:val="Numerado1Carter"/>
    <w:link w:val="Numerado2"/>
    <w:rsid w:val="00211A67"/>
    <w:rPr>
      <w:rFonts w:ascii="Trebuchet MS" w:hAnsi="Trebuchet MS" w:cs="Open Sans"/>
      <w:bCs/>
      <w:lang w:eastAsia="en-US"/>
    </w:rPr>
  </w:style>
  <w:style w:type="character" w:styleId="Refdecomentrio">
    <w:name w:val="annotation reference"/>
    <w:basedOn w:val="Tipodeletrapredefinidodopargrafo"/>
    <w:semiHidden/>
    <w:unhideWhenUsed/>
    <w:rsid w:val="000350D9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0350D9"/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0350D9"/>
    <w:rPr>
      <w:rFonts w:ascii="Trebuchet MS" w:hAnsi="Trebuchet MS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0350D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0350D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base.gov.p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acingov.p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ns.gov.p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acingov.pt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Impressos" ma:contentTypeID="0x0100198F63CFE3E2438EA04B7F34E783B6A900096D5F40A99AE145A855CA18048CC66B" ma:contentTypeVersion="0" ma:contentTypeDescription="My Content Type" ma:contentTypeScope="" ma:versionID="d87ace910a3ee801f24c671e47a3669c">
  <xsd:schema xmlns:xsd="http://www.w3.org/2001/XMLSchema" xmlns:xs="http://www.w3.org/2001/XMLSchema" xmlns:p="http://schemas.microsoft.com/office/2006/metadata/properties" xmlns:ns2="EF056F98-B9AE-434B-9ADE-EFF726C46AB8" targetNamespace="http://schemas.microsoft.com/office/2006/metadata/properties" ma:root="true" ma:fieldsID="bb8ef734793d86ae21ce7523341da765" ns2:_="">
    <xsd:import namespace="EF056F98-B9AE-434B-9ADE-EFF726C46AB8"/>
    <xsd:element name="properties">
      <xsd:complexType>
        <xsd:sequence>
          <xsd:element name="documentManagement">
            <xsd:complexType>
              <xsd:all>
                <xsd:element ref="ns2:BreveDescricao" minOccurs="0"/>
                <xsd:element ref="ns2:Download" minOccurs="0"/>
                <xsd:element ref="ns2:Instrucoes" minOccurs="0"/>
                <xsd:element ref="ns2:DocumentoInstrucoes" minOccurs="0"/>
                <xsd:element ref="ns2:LookCatImpressos" minOccurs="0"/>
                <xsd:element ref="ns2:LookSecImpress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6F98-B9AE-434B-9ADE-EFF726C46AB8" elementFormDefault="qualified">
    <xsd:import namespace="http://schemas.microsoft.com/office/2006/documentManagement/types"/>
    <xsd:import namespace="http://schemas.microsoft.com/office/infopath/2007/PartnerControls"/>
    <xsd:element name="BreveDescricao" ma:index="2" nillable="true" ma:displayName="Breve Descricao" ma:internalName="BreveDescricao">
      <xsd:simpleType>
        <xsd:restriction base="dms:Text"/>
      </xsd:simpleType>
    </xsd:element>
    <xsd:element name="Download" ma:index="3" nillable="true" ma:displayName="Download" ma:internalName="Download">
      <xsd:simpleType>
        <xsd:restriction base="dms:Boolean"/>
      </xsd:simpleType>
    </xsd:element>
    <xsd:element name="Instrucoes" ma:index="4" nillable="true" ma:displayName="Instrucoes" ma:internalName="Instrucoes">
      <xsd:simpleType>
        <xsd:restriction base="dms:Boolean"/>
      </xsd:simpleType>
    </xsd:element>
    <xsd:element name="DocumentoInstrucoes" ma:index="5" nillable="true" ma:displayName="Documento Instrucoes" ma:list="{EF056F98-B9AE-434B-9ADE-EFF726C46AB8}" ma:internalName="DocumentoInstrucoes" ma:showField="Title">
      <xsd:simpleType>
        <xsd:restriction base="dms:Lookup"/>
      </xsd:simpleType>
    </xsd:element>
    <xsd:element name="LookCatImpressos" ma:index="6" nillable="true" ma:displayName="Look Cat Impressos" ma:list="{56FE6314-C84A-47B9-9EBE-0D354A1C46C9}" ma:internalName="LookCatImpressos" ma:showField="Title">
      <xsd:simpleType>
        <xsd:restriction base="dms:Lookup"/>
      </xsd:simpleType>
    </xsd:element>
    <xsd:element name="LookSecImpressos" ma:index="7" nillable="true" ma:displayName="Look Sec Impressos" ma:list="{B317597C-0E71-4D94-A9FF-D778CB0EAE72}" ma:internalName="LookSecImpresso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rucoes xmlns="EF056F98-B9AE-434B-9ADE-EFF726C46AB8">false</Instrucoes>
    <LookCatImpressos xmlns="EF056F98-B9AE-434B-9ADE-EFF726C46AB8">1</LookCatImpressos>
    <Download xmlns="EF056F98-B9AE-434B-9ADE-EFF726C46AB8">true</Download>
    <BreveDescricao xmlns="EF056F98-B9AE-434B-9ADE-EFF726C46AB8">P3 CPREVIA - Convite - Aquisição de Bens</BreveDescricao>
    <LookSecImpressos xmlns="EF056F98-B9AE-434B-9ADE-EFF726C46AB8">1</LookSecImpressos>
    <DocumentoInstrucoes xmlns="EF056F98-B9AE-434B-9ADE-EFF726C46A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3270-412E-48E3-98BF-04770B978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C71EA-63EE-4FB0-8796-B975F96F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056F98-B9AE-434B-9ADE-EFF726C46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E963E-4EC9-404E-B04D-F65744A59A1D}">
  <ds:schemaRefs>
    <ds:schemaRef ds:uri="http://purl.org/dc/elements/1.1/"/>
    <ds:schemaRef ds:uri="http://purl.org/dc/terms/"/>
    <ds:schemaRef ds:uri="EF056F98-B9AE-434B-9ADE-EFF726C46AB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61CB09F-564D-4F6F-89FE-547DE5A1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4026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P3 CPREVIA - Convite - Aquisição de Bens</vt:lpstr>
    </vt:vector>
  </TitlesOfParts>
  <Company>MARINHA</Company>
  <LinksUpToDate>false</LinksUpToDate>
  <CharactersWithSpaces>28229</CharactersWithSpaces>
  <SharedDoc>false</SharedDoc>
  <HLinks>
    <vt:vector size="18" baseType="variant">
      <vt:variant>
        <vt:i4>7143528</vt:i4>
      </vt:variant>
      <vt:variant>
        <vt:i4>37</vt:i4>
      </vt:variant>
      <vt:variant>
        <vt:i4>0</vt:i4>
      </vt:variant>
      <vt:variant>
        <vt:i4>5</vt:i4>
      </vt:variant>
      <vt:variant>
        <vt:lpwstr>http://www.acingov.pt/</vt:lpwstr>
      </vt:variant>
      <vt:variant>
        <vt:lpwstr/>
      </vt:variant>
      <vt:variant>
        <vt:i4>2097254</vt:i4>
      </vt:variant>
      <vt:variant>
        <vt:i4>22</vt:i4>
      </vt:variant>
      <vt:variant>
        <vt:i4>0</vt:i4>
      </vt:variant>
      <vt:variant>
        <vt:i4>5</vt:i4>
      </vt:variant>
      <vt:variant>
        <vt:lpwstr>\\Da_srv03\da\DOB\01 PROCESSOS TRANSVERSAIS\01.01 NORMATIVO\01.01.05 MODELOS PROCEDIMENTOS\01.01.05.01 - Ajuste Directo Normal\01.01.05.01.03 Vortal\01.01.05.01.03.02 SAMD\www.compraspublicas.com</vt:lpwstr>
      </vt:variant>
      <vt:variant>
        <vt:lpwstr/>
      </vt:variant>
      <vt:variant>
        <vt:i4>7340048</vt:i4>
      </vt:variant>
      <vt:variant>
        <vt:i4>5</vt:i4>
      </vt:variant>
      <vt:variant>
        <vt:i4>0</vt:i4>
      </vt:variant>
      <vt:variant>
        <vt:i4>5</vt:i4>
      </vt:variant>
      <vt:variant>
        <vt:lpwstr>mailto:da.dob.ss.sscs@marinha.pt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 CPREVIA - Convite - Aquisição de Bens</dc:title>
  <dc:creator>Microsoft Corporation</dc:creator>
  <cp:lastModifiedBy>MESSE DE CASCAIS - SAF</cp:lastModifiedBy>
  <cp:revision>32</cp:revision>
  <cp:lastPrinted>2020-05-08T12:45:00Z</cp:lastPrinted>
  <dcterms:created xsi:type="dcterms:W3CDTF">2021-04-03T22:45:00Z</dcterms:created>
  <dcterms:modified xsi:type="dcterms:W3CDTF">2023-02-08T20:21:00Z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0x0100198F63CFE3E2438EA04B7F34E783B6A900096D5F40A99AE145A855CA18048CC66B</vt:lpwstr>
  </property>
</Properties>
</file>